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0F3E" w14:textId="77777777" w:rsidR="0028478C" w:rsidRPr="005F1557" w:rsidRDefault="00BE2998" w:rsidP="005F1557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F1557">
        <w:rPr>
          <w:rFonts w:cs="Times New Roman"/>
          <w:color w:val="000000" w:themeColor="text1"/>
          <w:sz w:val="24"/>
          <w:szCs w:val="24"/>
        </w:rPr>
        <w:t>Administrator and Teacher Resources</w:t>
      </w:r>
    </w:p>
    <w:p w14:paraId="703BA200" w14:textId="77777777" w:rsidR="0028478C" w:rsidRPr="005F1557" w:rsidRDefault="0028478C" w:rsidP="005F1557">
      <w:pPr>
        <w:jc w:val="center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6"/>
        <w:tblW w:w="13690" w:type="dxa"/>
        <w:tblLayout w:type="fixed"/>
        <w:tblLook w:val="04A0" w:firstRow="1" w:lastRow="0" w:firstColumn="1" w:lastColumn="0" w:noHBand="0" w:noVBand="1"/>
        <w:tblCaption w:val="Administrator and Teacher Resources"/>
        <w:tblDescription w:val="The table below includes a list of resources for administrators and teachers to consider when supporting preschool aged children with disabilities and their families. This is not an exhaustive list. "/>
      </w:tblPr>
      <w:tblGrid>
        <w:gridCol w:w="3415"/>
        <w:gridCol w:w="6675"/>
        <w:gridCol w:w="3600"/>
      </w:tblGrid>
      <w:tr w:rsidR="00DB5DB9" w:rsidRPr="005F1557" w14:paraId="3A38C306" w14:textId="77777777" w:rsidTr="00DB5DB9">
        <w:trPr>
          <w:tblHeader/>
        </w:trPr>
        <w:tc>
          <w:tcPr>
            <w:tcW w:w="3415" w:type="dxa"/>
          </w:tcPr>
          <w:p w14:paraId="3AC2CA18" w14:textId="77777777" w:rsidR="00DB5DB9" w:rsidRPr="00DB5DB9" w:rsidRDefault="00DB5DB9" w:rsidP="005F1557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B5DB9">
              <w:rPr>
                <w:rFonts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6675" w:type="dxa"/>
          </w:tcPr>
          <w:p w14:paraId="5DCFCA5E" w14:textId="77777777" w:rsidR="00DB5DB9" w:rsidRPr="00DB5DB9" w:rsidRDefault="00DB5DB9" w:rsidP="005F1557">
            <w:pPr>
              <w:widowControl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B5DB9">
              <w:rPr>
                <w:rFonts w:cs="Times New Roman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600" w:type="dxa"/>
          </w:tcPr>
          <w:p w14:paraId="07935537" w14:textId="77777777" w:rsidR="00DB5DB9" w:rsidRPr="00DB5DB9" w:rsidRDefault="00DB5DB9" w:rsidP="005F1557">
            <w:pPr>
              <w:jc w:val="center"/>
              <w:rPr>
                <w:b/>
              </w:rPr>
            </w:pPr>
            <w:r w:rsidRPr="00DB5DB9">
              <w:rPr>
                <w:b/>
              </w:rPr>
              <w:t>Link</w:t>
            </w:r>
          </w:p>
        </w:tc>
      </w:tr>
      <w:tr w:rsidR="00BE2998" w:rsidRPr="005F1557" w14:paraId="3117E535" w14:textId="77777777" w:rsidTr="005E6044">
        <w:tc>
          <w:tcPr>
            <w:tcW w:w="3415" w:type="dxa"/>
          </w:tcPr>
          <w:p w14:paraId="2E9E7ED1" w14:textId="77777777" w:rsidR="00BE2998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Go Open VA</w:t>
            </w:r>
          </w:p>
        </w:tc>
        <w:tc>
          <w:tcPr>
            <w:tcW w:w="6675" w:type="dxa"/>
          </w:tcPr>
          <w:p w14:paraId="1173F643" w14:textId="77777777" w:rsidR="00BE2998" w:rsidRPr="005F1557" w:rsidRDefault="00BE2998" w:rsidP="005F1557">
            <w:pPr>
              <w:widowControl w:val="0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VDoE</w:t>
            </w:r>
            <w:proofErr w:type="spellEnd"/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 collaborative initiative that enables educational entities throughout Virginia to create, share, and access openly-licensed educational resources (OER, also known as open education resources). Educators can expect to find everything from complete lessons along with links to videos or websites, or a single paragraph describing an idea for how to keep students asking questions about the outdoors.</w:t>
            </w:r>
          </w:p>
        </w:tc>
        <w:tc>
          <w:tcPr>
            <w:tcW w:w="3600" w:type="dxa"/>
          </w:tcPr>
          <w:p w14:paraId="28BB361E" w14:textId="77777777" w:rsidR="00BE2998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5" w:history="1">
              <w:r w:rsidR="00BE2998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#</w:t>
              </w:r>
              <w:proofErr w:type="spellStart"/>
              <w:r w:rsidR="00BE2998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GoOpenVA</w:t>
              </w:r>
              <w:proofErr w:type="spellEnd"/>
            </w:hyperlink>
          </w:p>
        </w:tc>
      </w:tr>
      <w:tr w:rsidR="00597F91" w:rsidRPr="005F1557" w14:paraId="3848CD86" w14:textId="77777777" w:rsidTr="005E6044">
        <w:tc>
          <w:tcPr>
            <w:tcW w:w="3415" w:type="dxa"/>
          </w:tcPr>
          <w:p w14:paraId="7CC0E097" w14:textId="77777777" w:rsidR="00597F91" w:rsidRPr="005F1557" w:rsidRDefault="00597F91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VDOE Virginia Learns Anywhere</w:t>
            </w:r>
          </w:p>
        </w:tc>
        <w:tc>
          <w:tcPr>
            <w:tcW w:w="6675" w:type="dxa"/>
          </w:tcPr>
          <w:p w14:paraId="0E7505DB" w14:textId="77777777" w:rsidR="00597F91" w:rsidRPr="005F1557" w:rsidRDefault="00597F91" w:rsidP="005F1557">
            <w:pPr>
              <w:widowControl w:val="0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The VDOE created the </w:t>
            </w:r>
            <w:r w:rsidRPr="004A5759">
              <w:rPr>
                <w:rFonts w:cs="Times New Roman"/>
                <w:bCs/>
                <w:i/>
                <w:iCs/>
                <w:color w:val="000000" w:themeColor="text1"/>
                <w:sz w:val="24"/>
                <w:szCs w:val="24"/>
              </w:rPr>
              <w:t>Continuity for Learning (C4L)</w:t>
            </w: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 Task Force consisting of teachers, leaders, and collaborating educational partners across Virginia. The C4L Task Force developed a document that provides instructional models and resources for early childhood educators.</w:t>
            </w:r>
          </w:p>
        </w:tc>
        <w:tc>
          <w:tcPr>
            <w:tcW w:w="3600" w:type="dxa"/>
          </w:tcPr>
          <w:p w14:paraId="3A6E65EB" w14:textId="77777777" w:rsidR="00597F91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6" w:history="1">
              <w:r w:rsidR="00597F91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Virginia Learns Anywhere</w:t>
              </w:r>
            </w:hyperlink>
          </w:p>
        </w:tc>
      </w:tr>
      <w:tr w:rsidR="00BE2998" w:rsidRPr="005F1557" w14:paraId="347D9F81" w14:textId="77777777" w:rsidTr="005E6044">
        <w:tc>
          <w:tcPr>
            <w:tcW w:w="3415" w:type="dxa"/>
          </w:tcPr>
          <w:p w14:paraId="5C016FC2" w14:textId="77777777" w:rsidR="00BE2998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Early Childhood TA Center</w:t>
            </w:r>
          </w:p>
        </w:tc>
        <w:tc>
          <w:tcPr>
            <w:tcW w:w="6675" w:type="dxa"/>
          </w:tcPr>
          <w:p w14:paraId="3E295CC3" w14:textId="77777777" w:rsidR="00BE2998" w:rsidRPr="004A5759" w:rsidRDefault="00BE2998" w:rsidP="005F1557">
            <w:pPr>
              <w:widowControl w:val="0"/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4A5759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</w:rPr>
              <w:t>This page provides the latest information on funding and guidance for all birth-5 early childhood special education programs regarding this national emergency. Content includes disaster/trauma response and tele-intervention and distance learning resources.</w:t>
            </w:r>
          </w:p>
        </w:tc>
        <w:tc>
          <w:tcPr>
            <w:tcW w:w="3600" w:type="dxa"/>
          </w:tcPr>
          <w:p w14:paraId="53D88546" w14:textId="77777777" w:rsidR="00BE2998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7" w:tgtFrame="_blank" w:history="1">
              <w:r w:rsidR="00BE2998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Early Childhood Technical Assistance Center (ECTA)</w:t>
              </w:r>
            </w:hyperlink>
          </w:p>
        </w:tc>
      </w:tr>
      <w:tr w:rsidR="005F1557" w:rsidRPr="005F1557" w14:paraId="253C03DC" w14:textId="77777777" w:rsidTr="005E6044">
        <w:tc>
          <w:tcPr>
            <w:tcW w:w="3415" w:type="dxa"/>
          </w:tcPr>
          <w:p w14:paraId="525CDFDE" w14:textId="77777777" w:rsidR="00BE2998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Division for Early Childhood (DEC)</w:t>
            </w:r>
          </w:p>
        </w:tc>
        <w:tc>
          <w:tcPr>
            <w:tcW w:w="6675" w:type="dxa"/>
          </w:tcPr>
          <w:p w14:paraId="500536D7" w14:textId="77777777" w:rsidR="00BE2998" w:rsidRPr="004A5759" w:rsidRDefault="00BE2998" w:rsidP="005F1557">
            <w:pPr>
              <w:widowControl w:val="0"/>
              <w:spacing w:line="240" w:lineRule="auto"/>
              <w:jc w:val="center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4A5759">
              <w:rPr>
                <w:rStyle w:val="Emphasis"/>
                <w:rFonts w:cs="Times New Roman"/>
                <w:i w:val="0"/>
                <w:color w:val="000000" w:themeColor="text1"/>
                <w:sz w:val="24"/>
                <w:szCs w:val="24"/>
              </w:rPr>
              <w:t>The DEC has gathered resources into one place for special education professionals to apply good teaching practices remotely due to precautions surrounding the COVID-19. Access the resources here.</w:t>
            </w:r>
          </w:p>
        </w:tc>
        <w:tc>
          <w:tcPr>
            <w:tcW w:w="3600" w:type="dxa"/>
          </w:tcPr>
          <w:p w14:paraId="7315C539" w14:textId="77777777" w:rsidR="00BE2998" w:rsidRPr="00FB3200" w:rsidRDefault="000815EE" w:rsidP="005F1557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hyperlink r:id="rId8" w:history="1">
              <w:r w:rsidR="00DB5DB9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Resources to Support EI/ECSE During the COVID-19 Outbreak</w:t>
              </w:r>
            </w:hyperlink>
          </w:p>
        </w:tc>
      </w:tr>
      <w:tr w:rsidR="005F1557" w:rsidRPr="005F1557" w14:paraId="75FA4D1E" w14:textId="77777777" w:rsidTr="005E6044">
        <w:tc>
          <w:tcPr>
            <w:tcW w:w="3415" w:type="dxa"/>
          </w:tcPr>
          <w:p w14:paraId="0A6CD4FC" w14:textId="77777777" w:rsidR="00BE2998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DEC Recommended </w:t>
            </w:r>
            <w:r w:rsidR="00B44F64" w:rsidRPr="005F1557">
              <w:rPr>
                <w:rFonts w:cs="Times New Roman"/>
                <w:color w:val="000000" w:themeColor="text1"/>
                <w:sz w:val="24"/>
                <w:szCs w:val="24"/>
              </w:rPr>
              <w:t>Practices, Embedding Instruction</w:t>
            </w:r>
          </w:p>
        </w:tc>
        <w:tc>
          <w:tcPr>
            <w:tcW w:w="6675" w:type="dxa"/>
          </w:tcPr>
          <w:p w14:paraId="0C3374A8" w14:textId="77777777" w:rsidR="00BE2998" w:rsidRPr="005F1557" w:rsidRDefault="00BE2998" w:rsidP="005F15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These documents provide</w:t>
            </w:r>
            <w:r w:rsidR="00B44F64"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 information to help embed instruction into daily routines.</w:t>
            </w:r>
          </w:p>
          <w:p w14:paraId="2D0F11D9" w14:textId="77777777" w:rsidR="00BE2998" w:rsidRPr="005F1557" w:rsidRDefault="00BE2998" w:rsidP="005F155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62C69E1" w14:textId="77777777" w:rsidR="00BE2998" w:rsidRPr="005F1557" w:rsidRDefault="004A5759" w:rsidP="005F15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The Embedded Instruction Guidance Document provides instructions and describes how to embed learning opportunities. </w:t>
            </w:r>
          </w:p>
          <w:p w14:paraId="60E6B17B" w14:textId="77777777" w:rsidR="00BE2998" w:rsidRPr="005F1557" w:rsidRDefault="004A5759" w:rsidP="005F15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The C</w:t>
            </w:r>
            <w:r w:rsidR="00BE2998" w:rsidRPr="005F1557">
              <w:rPr>
                <w:rFonts w:cs="Times New Roman"/>
                <w:color w:val="000000" w:themeColor="text1"/>
                <w:sz w:val="24"/>
                <w:szCs w:val="24"/>
              </w:rPr>
              <w:t>hecklist includes the characteristics of embedded instructional practices that can be used by teachers/therapists to promote a child’s use of targeted, functional behavior in the context of home.</w:t>
            </w:r>
          </w:p>
          <w:p w14:paraId="0D33A63C" w14:textId="77777777" w:rsidR="00BE2998" w:rsidRPr="004A5759" w:rsidRDefault="00BE2998" w:rsidP="004A57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</w:t>
            </w:r>
            <w:r w:rsidR="004A5759">
              <w:rPr>
                <w:rFonts w:cs="Times New Roman"/>
                <w:color w:val="000000" w:themeColor="text1"/>
                <w:sz w:val="24"/>
                <w:szCs w:val="24"/>
              </w:rPr>
              <w:t>he T</w:t>
            </w: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emplate</w:t>
            </w:r>
            <w:r w:rsidR="004A5759">
              <w:rPr>
                <w:rFonts w:cs="Times New Roman"/>
                <w:color w:val="000000" w:themeColor="text1"/>
                <w:sz w:val="24"/>
                <w:szCs w:val="24"/>
              </w:rPr>
              <w:t xml:space="preserve"> is</w:t>
            </w: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 to be completed by an Early Childhood Special Education Teacher/Therapist and parents/guardians to identify embedded practices, specific to each child’s IEP.</w:t>
            </w:r>
          </w:p>
        </w:tc>
        <w:tc>
          <w:tcPr>
            <w:tcW w:w="3600" w:type="dxa"/>
          </w:tcPr>
          <w:p w14:paraId="117D0A84" w14:textId="77777777" w:rsidR="00BE2998" w:rsidRPr="00FB3200" w:rsidRDefault="00BE2998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  <w:p w14:paraId="05091EB5" w14:textId="77777777" w:rsidR="00B44F64" w:rsidRPr="00FB3200" w:rsidRDefault="00B44F64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  <w:p w14:paraId="49EBB46F" w14:textId="77777777" w:rsidR="00BE2998" w:rsidRPr="00FB3200" w:rsidRDefault="00463974" w:rsidP="004A5759">
            <w:pPr>
              <w:jc w:val="center"/>
              <w:rPr>
                <w:rStyle w:val="Hyperlink"/>
                <w:rFonts w:cs="Times New Roman"/>
                <w:color w:val="0070C0"/>
                <w:sz w:val="24"/>
                <w:szCs w:val="24"/>
              </w:rPr>
            </w:pPr>
            <w:r w:rsidRPr="00FB3200">
              <w:rPr>
                <w:rFonts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FB3200">
              <w:rPr>
                <w:rFonts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  <w:instrText xml:space="preserve"> HYPERLINK "https://ectacenter.org/decrp/type-pgfamily.asp" \t "_blank" </w:instrText>
            </w:r>
            <w:r w:rsidRPr="00FB3200">
              <w:rPr>
                <w:rFonts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="00BE2998" w:rsidRPr="00FB3200">
              <w:rPr>
                <w:rStyle w:val="Hyperlink"/>
                <w:rFonts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  <w:t>Embedding Instruction in the Home: Family Guidance Document</w:t>
            </w:r>
          </w:p>
          <w:p w14:paraId="7275E661" w14:textId="77777777" w:rsidR="00BE2998" w:rsidRPr="00FB3200" w:rsidRDefault="00463974" w:rsidP="004A5759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FB3200">
              <w:rPr>
                <w:rFonts w:cs="Times New Roman"/>
                <w:bCs/>
                <w:color w:val="0070C0"/>
                <w:sz w:val="24"/>
                <w:szCs w:val="24"/>
                <w:bdr w:val="none" w:sz="0" w:space="0" w:color="auto" w:frame="1"/>
              </w:rPr>
              <w:fldChar w:fldCharType="end"/>
            </w:r>
            <w:hyperlink r:id="rId9" w:tgtFrame="_blank" w:history="1">
              <w:r w:rsidR="00BE2998" w:rsidRPr="00FB3200">
                <w:rPr>
                  <w:rStyle w:val="Hyperlink"/>
                  <w:rFonts w:cs="Times New Roman"/>
                  <w:bCs/>
                  <w:color w:val="0070C0"/>
                  <w:sz w:val="24"/>
                  <w:szCs w:val="24"/>
                  <w:bdr w:val="none" w:sz="0" w:space="0" w:color="auto" w:frame="1"/>
                </w:rPr>
                <w:t>Embedded Instruction Checklist</w:t>
              </w:r>
            </w:hyperlink>
          </w:p>
          <w:p w14:paraId="30141232" w14:textId="77777777" w:rsidR="004A5759" w:rsidRPr="00FB3200" w:rsidRDefault="004A5759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  <w:highlight w:val="yellow"/>
              </w:rPr>
            </w:pPr>
          </w:p>
          <w:p w14:paraId="0D0AE4DB" w14:textId="3B97BCDA" w:rsidR="00BE2998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0" w:tgtFrame="_blank" w:history="1">
              <w:r w:rsidR="00BE2998" w:rsidRPr="00C57B4B">
                <w:rPr>
                  <w:rStyle w:val="Hyperlink"/>
                  <w:rFonts w:cs="Times New Roman"/>
                  <w:bCs/>
                  <w:color w:val="0070C0"/>
                  <w:sz w:val="24"/>
                  <w:szCs w:val="24"/>
                  <w:bdr w:val="none" w:sz="0" w:space="0" w:color="auto" w:frame="1"/>
                </w:rPr>
                <w:t>Embedding Learning Template</w:t>
              </w:r>
            </w:hyperlink>
            <w:r w:rsidR="004A5759" w:rsidRPr="00FB3200">
              <w:rPr>
                <w:rFonts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5F1557" w:rsidRPr="005F1557" w14:paraId="4869C07D" w14:textId="77777777" w:rsidTr="005E6044">
        <w:tc>
          <w:tcPr>
            <w:tcW w:w="3415" w:type="dxa"/>
          </w:tcPr>
          <w:p w14:paraId="1E6D7482" w14:textId="77777777" w:rsidR="0028478C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Tele-Intervention</w:t>
            </w:r>
          </w:p>
        </w:tc>
        <w:tc>
          <w:tcPr>
            <w:tcW w:w="6675" w:type="dxa"/>
          </w:tcPr>
          <w:p w14:paraId="681B5566" w14:textId="77777777" w:rsidR="0028478C" w:rsidRPr="005F1557" w:rsidRDefault="0028478C" w:rsidP="005F1557">
            <w:pPr>
              <w:widowControl w:val="0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Information </w:t>
            </w:r>
            <w:r w:rsidR="00BE2998"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and resources </w:t>
            </w: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about Tele-Intervention and Distance Learning for young children</w:t>
            </w:r>
          </w:p>
          <w:p w14:paraId="7BA81067" w14:textId="77777777" w:rsidR="0028478C" w:rsidRPr="005F1557" w:rsidRDefault="0028478C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98A4443" w14:textId="77777777" w:rsidR="0028478C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1" w:anchor="ss-oo-pp-rr">
              <w:r w:rsidR="00DB5DB9" w:rsidRPr="00FB3200">
                <w:rPr>
                  <w:rFonts w:cs="Times New Roman"/>
                  <w:color w:val="0070C0"/>
                  <w:sz w:val="24"/>
                  <w:szCs w:val="24"/>
                  <w:u w:val="single"/>
                </w:rPr>
                <w:t>Service Delivery through Tele-Intervention and Distance Learning</w:t>
              </w:r>
            </w:hyperlink>
          </w:p>
        </w:tc>
      </w:tr>
      <w:tr w:rsidR="005F1557" w:rsidRPr="005F1557" w14:paraId="18D4FAFA" w14:textId="77777777" w:rsidTr="005E6044">
        <w:tc>
          <w:tcPr>
            <w:tcW w:w="3415" w:type="dxa"/>
          </w:tcPr>
          <w:p w14:paraId="1C0A68E2" w14:textId="77777777" w:rsidR="0028478C" w:rsidRPr="005F1557" w:rsidRDefault="00BE2998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Tele-Intervention</w:t>
            </w:r>
          </w:p>
        </w:tc>
        <w:tc>
          <w:tcPr>
            <w:tcW w:w="6675" w:type="dxa"/>
          </w:tcPr>
          <w:p w14:paraId="5666680A" w14:textId="77777777" w:rsidR="0028478C" w:rsidRPr="005F1557" w:rsidRDefault="0028478C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Information about Tele-</w:t>
            </w:r>
            <w:r w:rsidR="00BE2998" w:rsidRPr="005F1557">
              <w:rPr>
                <w:rFonts w:cs="Times New Roman"/>
                <w:color w:val="000000" w:themeColor="text1"/>
                <w:sz w:val="24"/>
                <w:szCs w:val="24"/>
              </w:rPr>
              <w:t>Intervention for young children. This blog contains strategies to engage families.</w:t>
            </w:r>
          </w:p>
        </w:tc>
        <w:tc>
          <w:tcPr>
            <w:tcW w:w="3600" w:type="dxa"/>
          </w:tcPr>
          <w:p w14:paraId="31B21B7B" w14:textId="77777777" w:rsidR="0028478C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2" w:history="1">
              <w:r w:rsidR="00DB5DB9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 xml:space="preserve">10 Strategies for Engaging Parents (not Children?) during Tele-Intervention </w:t>
              </w:r>
            </w:hyperlink>
          </w:p>
        </w:tc>
      </w:tr>
      <w:tr w:rsidR="00875752" w:rsidRPr="005F1557" w14:paraId="0922E583" w14:textId="77777777" w:rsidTr="005E6044">
        <w:tc>
          <w:tcPr>
            <w:tcW w:w="3415" w:type="dxa"/>
          </w:tcPr>
          <w:p w14:paraId="3DAD12A0" w14:textId="77777777" w:rsidR="00875752" w:rsidRPr="005F1557" w:rsidRDefault="00875752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VA Early Intervention Professional Development, Tele-Intervention</w:t>
            </w:r>
          </w:p>
        </w:tc>
        <w:tc>
          <w:tcPr>
            <w:tcW w:w="6675" w:type="dxa"/>
          </w:tcPr>
          <w:p w14:paraId="33B05ABE" w14:textId="77777777" w:rsidR="00875752" w:rsidRPr="005F1557" w:rsidRDefault="00875752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This website provides professional development resources for early intervention and has many resources on delivering tele-intervention with young children and families.</w:t>
            </w:r>
          </w:p>
        </w:tc>
        <w:tc>
          <w:tcPr>
            <w:tcW w:w="3600" w:type="dxa"/>
          </w:tcPr>
          <w:p w14:paraId="0F9603F7" w14:textId="77777777" w:rsidR="00875752" w:rsidRPr="00FB3200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3" w:history="1">
              <w:r w:rsidR="00DB5DB9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VEIPD COVID-19 and EI Tele-Intervention Updates</w:t>
              </w:r>
            </w:hyperlink>
          </w:p>
        </w:tc>
      </w:tr>
      <w:tr w:rsidR="00C5306F" w:rsidRPr="005F1557" w14:paraId="73450FF9" w14:textId="77777777" w:rsidTr="005E6044">
        <w:tc>
          <w:tcPr>
            <w:tcW w:w="3415" w:type="dxa"/>
          </w:tcPr>
          <w:p w14:paraId="1ACB90B5" w14:textId="77777777" w:rsidR="00C5306F" w:rsidRPr="005F1557" w:rsidRDefault="00C5306F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Early Childhood TA Center, Tele-Intervention</w:t>
            </w:r>
          </w:p>
        </w:tc>
        <w:tc>
          <w:tcPr>
            <w:tcW w:w="6675" w:type="dxa"/>
          </w:tcPr>
          <w:p w14:paraId="0E7B397D" w14:textId="77777777" w:rsidR="00C5306F" w:rsidRPr="005F1557" w:rsidRDefault="00C5306F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The ECTA has provided </w:t>
            </w:r>
            <w:proofErr w:type="gramStart"/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resources  many</w:t>
            </w:r>
            <w:proofErr w:type="gramEnd"/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 xml:space="preserve"> resources for delivering tele-intervention with young children and families.</w:t>
            </w:r>
          </w:p>
        </w:tc>
        <w:tc>
          <w:tcPr>
            <w:tcW w:w="3600" w:type="dxa"/>
          </w:tcPr>
          <w:p w14:paraId="285919B3" w14:textId="77777777" w:rsidR="00C5306F" w:rsidRPr="00FB3200" w:rsidRDefault="000815EE" w:rsidP="005F1557">
            <w:pPr>
              <w:spacing w:before="240" w:after="240" w:line="240" w:lineRule="auto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4" w:history="1">
              <w:r w:rsidR="00DB5DB9" w:rsidRPr="00FB3200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Tele-Intervention and Distance Learning Resources</w:t>
              </w:r>
            </w:hyperlink>
          </w:p>
          <w:p w14:paraId="7D3B9EB9" w14:textId="77777777" w:rsidR="00C5306F" w:rsidRPr="00FB3200" w:rsidRDefault="00C5306F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</w:tr>
      <w:tr w:rsidR="005F1557" w:rsidRPr="005F1557" w14:paraId="212B9E81" w14:textId="77777777" w:rsidTr="00DD05C4">
        <w:tc>
          <w:tcPr>
            <w:tcW w:w="3415" w:type="dxa"/>
            <w:vAlign w:val="center"/>
          </w:tcPr>
          <w:p w14:paraId="3B82AB88" w14:textId="77777777" w:rsidR="000A7B2E" w:rsidRPr="005F1557" w:rsidRDefault="00597F91" w:rsidP="005F1557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AAC in Tele-Intervention</w:t>
            </w:r>
          </w:p>
        </w:tc>
        <w:tc>
          <w:tcPr>
            <w:tcW w:w="6675" w:type="dxa"/>
            <w:vAlign w:val="center"/>
          </w:tcPr>
          <w:p w14:paraId="1EFB65C9" w14:textId="77777777" w:rsidR="000A7B2E" w:rsidRPr="005F1557" w:rsidRDefault="000A7B2E" w:rsidP="005F1557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This webinar describes and shows examples o</w:t>
            </w:r>
            <w:r w:rsidR="00BE2998" w:rsidRPr="005F1557">
              <w:rPr>
                <w:rFonts w:cs="Times New Roman"/>
                <w:color w:val="000000" w:themeColor="text1"/>
                <w:sz w:val="24"/>
                <w:szCs w:val="24"/>
              </w:rPr>
              <w:t>f how to use AAC in tele-intervention</w:t>
            </w: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commentRangeStart w:id="0"/>
        <w:tc>
          <w:tcPr>
            <w:tcW w:w="3600" w:type="dxa"/>
          </w:tcPr>
          <w:p w14:paraId="2D7CA0A5" w14:textId="37EC84D2" w:rsidR="000A7B2E" w:rsidRPr="000815EE" w:rsidRDefault="002074EF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0815EE">
              <w:fldChar w:fldCharType="begin"/>
            </w:r>
            <w:r w:rsidR="000815EE" w:rsidRPr="000815EE">
              <w:instrText>HYPERLINK "https://www.youtube.com/watch?v=SEY6ymEP4ZE&amp;t=2339s"</w:instrText>
            </w:r>
            <w:r w:rsidRPr="000815EE">
              <w:fldChar w:fldCharType="separate"/>
            </w:r>
            <w:r w:rsidR="00597F91" w:rsidRPr="000815EE">
              <w:rPr>
                <w:rStyle w:val="Hyperlink"/>
                <w:rFonts w:cs="Times New Roman"/>
                <w:color w:val="0070C0"/>
                <w:sz w:val="24"/>
                <w:szCs w:val="24"/>
              </w:rPr>
              <w:t>AAC in Tele-Intervention</w:t>
            </w:r>
            <w:r w:rsidRPr="000815EE">
              <w:rPr>
                <w:rStyle w:val="Hyperlink"/>
                <w:rFonts w:cs="Times New Roman"/>
                <w:color w:val="0070C0"/>
                <w:sz w:val="24"/>
                <w:szCs w:val="24"/>
              </w:rPr>
              <w:fldChar w:fldCharType="end"/>
            </w:r>
            <w:commentRangeEnd w:id="0"/>
            <w:r w:rsidR="00463974" w:rsidRPr="000815EE">
              <w:rPr>
                <w:rStyle w:val="CommentReference"/>
                <w:color w:val="0070C0"/>
              </w:rPr>
              <w:commentReference w:id="0"/>
            </w:r>
            <w:bookmarkStart w:id="1" w:name="_GoBack"/>
            <w:bookmarkEnd w:id="1"/>
          </w:p>
        </w:tc>
      </w:tr>
      <w:tr w:rsidR="005F1557" w:rsidRPr="005F1557" w14:paraId="270CEAEA" w14:textId="77777777" w:rsidTr="005E6044">
        <w:tc>
          <w:tcPr>
            <w:tcW w:w="3415" w:type="dxa"/>
          </w:tcPr>
          <w:p w14:paraId="216C760F" w14:textId="77777777" w:rsidR="0028478C" w:rsidRPr="002074EF" w:rsidRDefault="00597F91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074EF">
              <w:rPr>
                <w:rFonts w:cs="Times New Roman"/>
                <w:color w:val="000000" w:themeColor="text1"/>
                <w:sz w:val="24"/>
                <w:szCs w:val="24"/>
              </w:rPr>
              <w:t>Teaching Remotely</w:t>
            </w:r>
          </w:p>
        </w:tc>
        <w:tc>
          <w:tcPr>
            <w:tcW w:w="6675" w:type="dxa"/>
          </w:tcPr>
          <w:p w14:paraId="58F9E3F5" w14:textId="77777777" w:rsidR="00823C46" w:rsidRPr="002074EF" w:rsidRDefault="00597F91" w:rsidP="005F155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074EF">
              <w:rPr>
                <w:iCs/>
                <w:color w:val="000000" w:themeColor="text1"/>
              </w:rPr>
              <w:t>The CEC provides a set of</w:t>
            </w:r>
            <w:r w:rsidR="00823C46" w:rsidRPr="002074EF">
              <w:rPr>
                <w:iCs/>
                <w:color w:val="000000" w:themeColor="text1"/>
              </w:rPr>
              <w:t xml:space="preserve"> resources you can use as you determine the best means to provide services to your students and their families. They </w:t>
            </w:r>
            <w:proofErr w:type="gramStart"/>
            <w:r w:rsidR="00823C46" w:rsidRPr="002074EF">
              <w:rPr>
                <w:iCs/>
                <w:color w:val="000000" w:themeColor="text1"/>
              </w:rPr>
              <w:t>have been curated</w:t>
            </w:r>
            <w:proofErr w:type="gramEnd"/>
            <w:r w:rsidR="00823C46" w:rsidRPr="002074EF">
              <w:rPr>
                <w:iCs/>
                <w:color w:val="000000" w:themeColor="text1"/>
              </w:rPr>
              <w:t xml:space="preserve"> for you and will be regularly updated.</w:t>
            </w:r>
          </w:p>
          <w:p w14:paraId="05AB04ED" w14:textId="77777777" w:rsidR="0028478C" w:rsidRPr="002074EF" w:rsidRDefault="0028478C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CE8A030" w14:textId="77777777" w:rsidR="00597F91" w:rsidRPr="00D23461" w:rsidRDefault="000815EE" w:rsidP="005F1557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</w:rPr>
            </w:pPr>
            <w:hyperlink r:id="rId17" w:history="1">
              <w:r w:rsidR="00597F91" w:rsidRPr="00D23461">
                <w:rPr>
                  <w:rStyle w:val="Hyperlink"/>
                  <w:bCs/>
                  <w:color w:val="0070C0"/>
                </w:rPr>
                <w:t>Council for Exceptional Children: Resources for Teaching Remotely</w:t>
              </w:r>
            </w:hyperlink>
          </w:p>
          <w:p w14:paraId="53560BBB" w14:textId="77777777" w:rsidR="0028478C" w:rsidRPr="00D23461" w:rsidRDefault="0028478C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</w:p>
        </w:tc>
      </w:tr>
      <w:tr w:rsidR="005F1557" w:rsidRPr="005F1557" w14:paraId="2D002220" w14:textId="77777777" w:rsidTr="005E6044">
        <w:tc>
          <w:tcPr>
            <w:tcW w:w="3415" w:type="dxa"/>
          </w:tcPr>
          <w:p w14:paraId="359CCEA7" w14:textId="77777777" w:rsidR="0028478C" w:rsidRPr="005F1557" w:rsidRDefault="00C5306F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Tele-Intervention in Early Intervention</w:t>
            </w:r>
          </w:p>
        </w:tc>
        <w:tc>
          <w:tcPr>
            <w:tcW w:w="6675" w:type="dxa"/>
          </w:tcPr>
          <w:p w14:paraId="5BB0A69F" w14:textId="77777777" w:rsidR="0028478C" w:rsidRPr="005F1557" w:rsidRDefault="00875752" w:rsidP="005F155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557">
              <w:rPr>
                <w:rFonts w:cs="Times New Roman"/>
                <w:color w:val="000000" w:themeColor="text1"/>
                <w:sz w:val="24"/>
                <w:szCs w:val="24"/>
              </w:rPr>
              <w:t>Webinar on providing tele-intervention in early intervention.</w:t>
            </w:r>
          </w:p>
        </w:tc>
        <w:tc>
          <w:tcPr>
            <w:tcW w:w="3600" w:type="dxa"/>
          </w:tcPr>
          <w:p w14:paraId="22F50651" w14:textId="77777777" w:rsidR="0028478C" w:rsidRPr="00D23461" w:rsidRDefault="000815EE" w:rsidP="005F1557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hyperlink r:id="rId18" w:history="1">
              <w:r w:rsidR="00E4157A" w:rsidRPr="00D23461">
                <w:rPr>
                  <w:rStyle w:val="Hyperlink"/>
                  <w:rFonts w:cs="Times New Roman"/>
                  <w:color w:val="0070C0"/>
                  <w:sz w:val="24"/>
                  <w:szCs w:val="24"/>
                </w:rPr>
                <w:t>Webinar: Tele-Intervention in Early Intervention</w:t>
              </w:r>
            </w:hyperlink>
          </w:p>
        </w:tc>
      </w:tr>
    </w:tbl>
    <w:p w14:paraId="7929F126" w14:textId="77777777" w:rsidR="0028478C" w:rsidRPr="005F1557" w:rsidRDefault="0028478C" w:rsidP="005F1557">
      <w:pPr>
        <w:jc w:val="center"/>
        <w:rPr>
          <w:rFonts w:cs="Times New Roman"/>
          <w:color w:val="000000" w:themeColor="text1"/>
          <w:sz w:val="24"/>
          <w:szCs w:val="24"/>
        </w:rPr>
      </w:pPr>
    </w:p>
    <w:sectPr w:rsidR="0028478C" w:rsidRPr="005F1557" w:rsidSect="002847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cqueline Kilkeary" w:date="2020-04-17T12:26:00Z" w:initials="JK">
    <w:p w14:paraId="1B5A9BC0" w14:textId="77777777" w:rsidR="00463974" w:rsidRDefault="00463974">
      <w:pPr>
        <w:pStyle w:val="CommentText"/>
      </w:pPr>
      <w:r>
        <w:rPr>
          <w:rStyle w:val="CommentReference"/>
        </w:rPr>
        <w:annotationRef/>
      </w:r>
      <w:r>
        <w:t>Doesn’t link</w:t>
      </w:r>
    </w:p>
    <w:p w14:paraId="7E15C2AD" w14:textId="77777777" w:rsidR="00463974" w:rsidRDefault="0046397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15C2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084"/>
    <w:multiLevelType w:val="multilevel"/>
    <w:tmpl w:val="9FD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83501"/>
    <w:multiLevelType w:val="hybridMultilevel"/>
    <w:tmpl w:val="3670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1AFE"/>
    <w:multiLevelType w:val="multilevel"/>
    <w:tmpl w:val="5E1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queline Kilkeary">
    <w15:presenceInfo w15:providerId="AD" w15:userId="S-1-5-21-313377636-3159528848-1351084975-455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8C"/>
    <w:rsid w:val="000815EE"/>
    <w:rsid w:val="000A7B2E"/>
    <w:rsid w:val="001D5992"/>
    <w:rsid w:val="002074EF"/>
    <w:rsid w:val="0028478C"/>
    <w:rsid w:val="00463974"/>
    <w:rsid w:val="004A5759"/>
    <w:rsid w:val="005463C2"/>
    <w:rsid w:val="00597F91"/>
    <w:rsid w:val="005F1557"/>
    <w:rsid w:val="00710F62"/>
    <w:rsid w:val="007E7B66"/>
    <w:rsid w:val="00823C46"/>
    <w:rsid w:val="00875752"/>
    <w:rsid w:val="00883D1A"/>
    <w:rsid w:val="009B4E3A"/>
    <w:rsid w:val="00B44F64"/>
    <w:rsid w:val="00BE2998"/>
    <w:rsid w:val="00C5306F"/>
    <w:rsid w:val="00C57B4B"/>
    <w:rsid w:val="00D23461"/>
    <w:rsid w:val="00DB5DB9"/>
    <w:rsid w:val="00E4157A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45BB"/>
  <w15:chartTrackingRefBased/>
  <w15:docId w15:val="{2B1C01B8-D6B8-441D-9656-500381A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3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7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C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29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29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2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7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7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-sped.org/ei-ecse-resources-covid-19" TargetMode="External"/><Relationship Id="rId13" Type="http://schemas.openxmlformats.org/officeDocument/2006/relationships/hyperlink" Target="https://www.veipd.org/main/covid19_ei_tele_updates.html" TargetMode="External"/><Relationship Id="rId18" Type="http://schemas.openxmlformats.org/officeDocument/2006/relationships/hyperlink" Target="https://www.youtube.com/watch?v=c1-v9roJcHM&amp;feature=yout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%3A%2F%2Fectacenter.org%2Ftopics%2Fdisaster%2Fcoronavirus.asp&amp;sa=D&amp;sntz=1&amp;usg=AFQjCNGeJbK2I76uEBjYOv8DGYvOz7xFfg" TargetMode="External"/><Relationship Id="rId12" Type="http://schemas.openxmlformats.org/officeDocument/2006/relationships/hyperlink" Target="https://veipd.org/earlyintervention/2020/04/14/10-strategies-for-engaging-parents-not-children-during-tele-intervention/" TargetMode="External"/><Relationship Id="rId17" Type="http://schemas.openxmlformats.org/officeDocument/2006/relationships/hyperlink" Target="https://www.cec.sped.org/Tools-and-Resources/Resources-for-Teaching-Remotely?utm_source=cec&amp;utm_medium=email&amp;utm_campaign=default&amp;_zs=9Xu0j1&amp;_zl=eKtf6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DA0MDguMTk5MjkyNDEiLCJ1cmwiOiJodHRwOi8vd3d3LmRvZS52aXJnaW5pYS5nb3YvaW5zdHJ1Y3Rpb24vYzRsL3ZpcmdpbmlhLWxlYXJucy1hbnl3aGVyZS5zaHRtbCJ9.q6oZoY-OPmoDTIYTrMGA8Z4SIQY8wP1N3YpABGDQVtQ/br/77190046810-l" TargetMode="External"/><Relationship Id="rId11" Type="http://schemas.openxmlformats.org/officeDocument/2006/relationships/hyperlink" Target="https://ectacenter.org/topics/disaster/ti-service.asp" TargetMode="External"/><Relationship Id="rId5" Type="http://schemas.openxmlformats.org/officeDocument/2006/relationships/hyperlink" Target="https://goopenva.org/" TargetMode="External"/><Relationship Id="rId15" Type="http://schemas.openxmlformats.org/officeDocument/2006/relationships/comments" Target="comments.xml"/><Relationship Id="rId10" Type="http://schemas.openxmlformats.org/officeDocument/2006/relationships/hyperlink" Target="https://va-leads-ecse.org/Resource/JWHaEa5BS77BFTbZprZdvg/Resource-embedded-learning-activities-at-ho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tacenter.org/decrp/topic-instruction.asp" TargetMode="External"/><Relationship Id="rId14" Type="http://schemas.openxmlformats.org/officeDocument/2006/relationships/hyperlink" Target="https://ectacenter.org/topics/disaster/tele-interven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Dawn (DOE)</dc:creator>
  <cp:keywords/>
  <dc:description/>
  <cp:lastModifiedBy>Jacqueline Kilkeary</cp:lastModifiedBy>
  <cp:revision>10</cp:revision>
  <dcterms:created xsi:type="dcterms:W3CDTF">2020-04-17T17:18:00Z</dcterms:created>
  <dcterms:modified xsi:type="dcterms:W3CDTF">2020-04-17T18:41:00Z</dcterms:modified>
</cp:coreProperties>
</file>