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DB94D" w14:textId="77777777" w:rsidR="00DD58AB" w:rsidRDefault="00DD58AB" w:rsidP="00DD58AB">
      <w:pPr>
        <w:pStyle w:val="Default"/>
      </w:pPr>
    </w:p>
    <w:p w14:paraId="272AAA7F" w14:textId="77777777" w:rsidR="00DD58AB" w:rsidRDefault="00DD58AB" w:rsidP="00DD58AB">
      <w:pPr>
        <w:pStyle w:val="Default"/>
        <w:rPr>
          <w:rFonts w:cs="Times New Roman"/>
          <w:color w:val="auto"/>
        </w:rPr>
      </w:pPr>
    </w:p>
    <w:p w14:paraId="2ADB96B7" w14:textId="38020F70" w:rsidR="00DD58AB" w:rsidRDefault="00B72436" w:rsidP="00DD58AB">
      <w:pPr>
        <w:pStyle w:val="Default"/>
        <w:jc w:val="center"/>
        <w:rPr>
          <w:rFonts w:cs="Times New Roman"/>
          <w:color w:val="auto"/>
          <w:sz w:val="88"/>
          <w:szCs w:val="88"/>
        </w:rPr>
      </w:pPr>
      <w:r>
        <w:rPr>
          <w:rFonts w:cs="Times New Roman"/>
          <w:color w:val="auto"/>
          <w:sz w:val="88"/>
          <w:szCs w:val="88"/>
        </w:rPr>
        <w:t>2015-2016</w:t>
      </w:r>
      <w:r w:rsidR="00DD58AB">
        <w:rPr>
          <w:rFonts w:cs="Times New Roman"/>
          <w:color w:val="auto"/>
          <w:sz w:val="88"/>
          <w:szCs w:val="88"/>
        </w:rPr>
        <w:t xml:space="preserve"> National and Virginia </w:t>
      </w:r>
      <w:r>
        <w:rPr>
          <w:rFonts w:cs="Times New Roman"/>
          <w:color w:val="auto"/>
          <w:sz w:val="88"/>
          <w:szCs w:val="88"/>
        </w:rPr>
        <w:t xml:space="preserve">Indicator 7 </w:t>
      </w:r>
      <w:r w:rsidR="00DD58AB">
        <w:rPr>
          <w:rFonts w:cs="Times New Roman"/>
          <w:color w:val="auto"/>
          <w:sz w:val="88"/>
          <w:szCs w:val="88"/>
        </w:rPr>
        <w:t>Data</w:t>
      </w:r>
    </w:p>
    <w:p w14:paraId="1F2EA785" w14:textId="77777777" w:rsidR="00DD58AB" w:rsidRDefault="00DD58AB" w:rsidP="00DD58AB">
      <w:pPr>
        <w:pStyle w:val="Default"/>
        <w:rPr>
          <w:rFonts w:cs="Times New Roman"/>
          <w:color w:val="auto"/>
          <w:sz w:val="88"/>
          <w:szCs w:val="88"/>
        </w:rPr>
      </w:pPr>
    </w:p>
    <w:p w14:paraId="130D3506" w14:textId="4531B662" w:rsidR="002F59D6" w:rsidRPr="00A51AA1" w:rsidRDefault="00DD58AB" w:rsidP="00DD58AB">
      <w:pPr>
        <w:pStyle w:val="ListParagraph"/>
        <w:spacing w:after="120"/>
        <w:jc w:val="center"/>
        <w:rPr>
          <w:b/>
        </w:rPr>
      </w:pPr>
      <w:r>
        <w:rPr>
          <w:sz w:val="64"/>
          <w:szCs w:val="64"/>
        </w:rPr>
        <w:t xml:space="preserve">Provided by the Early Childhood Technical Assistance Center </w:t>
      </w:r>
      <w:r w:rsidR="002F59D6" w:rsidRPr="00A51AA1">
        <w:rPr>
          <w:b/>
        </w:rPr>
        <w:br w:type="page"/>
      </w:r>
    </w:p>
    <w:p w14:paraId="7CB7D867" w14:textId="22F0B2FB" w:rsidR="00D67072" w:rsidRDefault="00D67072" w:rsidP="00AB3797">
      <w:pPr>
        <w:pStyle w:val="Heading1"/>
      </w:pPr>
      <w:bookmarkStart w:id="0" w:name="_Toc491424338"/>
      <w:r w:rsidRPr="00FD79AE">
        <w:lastRenderedPageBreak/>
        <w:t>Comparison of State and National Data</w:t>
      </w:r>
      <w:bookmarkEnd w:id="0"/>
    </w:p>
    <w:p w14:paraId="33F5F495" w14:textId="4005834F" w:rsidR="00704A03" w:rsidRDefault="002062B2" w:rsidP="00B040C2">
      <w:pPr>
        <w:jc w:val="center"/>
        <w:rPr>
          <w:noProof/>
          <w:vertAlign w:val="subscript"/>
        </w:rPr>
      </w:pPr>
      <w:r>
        <w:rPr>
          <w:noProof/>
          <w:vertAlign w:val="subscript"/>
        </w:rPr>
        <w:drawing>
          <wp:inline distT="0" distB="0" distL="0" distR="0" wp14:anchorId="320DDD0C" wp14:editId="247BE4CE">
            <wp:extent cx="5467350" cy="3114675"/>
            <wp:effectExtent l="0" t="0" r="0" b="9525"/>
            <wp:docPr id="4" name="Picture 1" descr="The bar graph shows a comparison of state and national data for Summary Statement 1.  Virginia is far above the national average in each of the three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r graph shows a comparison of state and national data for Summary Statement 1.  Virginia is far above the national average in each of the three ski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3114675"/>
                    </a:xfrm>
                    <a:prstGeom prst="rect">
                      <a:avLst/>
                    </a:prstGeom>
                    <a:noFill/>
                    <a:ln>
                      <a:noFill/>
                    </a:ln>
                  </pic:spPr>
                </pic:pic>
              </a:graphicData>
            </a:graphic>
          </wp:inline>
        </w:drawing>
      </w:r>
    </w:p>
    <w:p w14:paraId="7DB4DA0F" w14:textId="1D81A9AF" w:rsidR="00D67072" w:rsidRDefault="002062B2" w:rsidP="00440618">
      <w:pPr>
        <w:jc w:val="center"/>
      </w:pPr>
      <w:r>
        <w:rPr>
          <w:noProof/>
          <w:vertAlign w:val="subscript"/>
        </w:rPr>
        <w:drawing>
          <wp:inline distT="0" distB="0" distL="0" distR="0" wp14:anchorId="76D567AC" wp14:editId="4470267F">
            <wp:extent cx="5467350" cy="3667125"/>
            <wp:effectExtent l="0" t="0" r="0" b="9525"/>
            <wp:docPr id="2" name="Picture 2" descr="The bar graph shows a comparison of national and state data for summary statement 2. Virginia data is about the same as national data for social relationships.  Virginia data is lower than national data for knowledge and skills. Virginia data is about the same as national data for actions to meet n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ar graph shows a comparison of national and state data for summary statement 2. Virginia data is about the same as national data for social relationships.  Virginia data is lower than national data for knowledge and skills. Virginia data is about the same as national data for actions to meet need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667125"/>
                    </a:xfrm>
                    <a:prstGeom prst="rect">
                      <a:avLst/>
                    </a:prstGeom>
                    <a:noFill/>
                    <a:ln>
                      <a:noFill/>
                    </a:ln>
                  </pic:spPr>
                </pic:pic>
              </a:graphicData>
            </a:graphic>
          </wp:inline>
        </w:drawing>
      </w:r>
    </w:p>
    <w:sectPr w:rsidR="00D67072" w:rsidSect="006E19B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1224"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40A7D" w14:textId="77777777" w:rsidR="002D23E7" w:rsidRDefault="002D23E7" w:rsidP="00763B56">
      <w:r>
        <w:separator/>
      </w:r>
    </w:p>
  </w:endnote>
  <w:endnote w:type="continuationSeparator" w:id="0">
    <w:p w14:paraId="63D5B4BB" w14:textId="77777777" w:rsidR="002D23E7" w:rsidRDefault="002D23E7" w:rsidP="0076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AB36" w14:textId="77777777" w:rsidR="002062B2" w:rsidRDefault="00206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5111" w14:textId="075A8DE4" w:rsidR="004509E5" w:rsidRPr="003836B0" w:rsidRDefault="001B37BD" w:rsidP="001B37BD">
    <w:pPr>
      <w:pStyle w:val="Footer"/>
      <w:ind w:left="1440"/>
      <w:jc w:val="center"/>
      <w:rPr>
        <w:i/>
        <w:sz w:val="18"/>
        <w:szCs w:val="18"/>
      </w:rPr>
    </w:pPr>
    <w:bookmarkStart w:id="1" w:name="_GoBack"/>
    <w:bookmarkEnd w:id="1"/>
    <w:r>
      <w:rPr>
        <w:noProof/>
      </w:rPr>
      <w:drawing>
        <wp:anchor distT="0" distB="0" distL="114300" distR="114300" simplePos="0" relativeHeight="251663360" behindDoc="0" locked="0" layoutInCell="1" allowOverlap="1" wp14:anchorId="1FE91930" wp14:editId="23048F83">
          <wp:simplePos x="0" y="0"/>
          <wp:positionH relativeFrom="column">
            <wp:posOffset>5163185</wp:posOffset>
          </wp:positionH>
          <wp:positionV relativeFrom="page">
            <wp:posOffset>8876665</wp:posOffset>
          </wp:positionV>
          <wp:extent cx="1074420" cy="784860"/>
          <wp:effectExtent l="0" t="0" r="0" b="0"/>
          <wp:wrapNone/>
          <wp:docPr id="3" name="Picture 3" descr="DaSy The Center for IDEA Early Childhood Data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5190\Desktop\Dasy-Logo-Medium-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784860"/>
                  </a:xfrm>
                  <a:prstGeom prst="rect">
                    <a:avLst/>
                  </a:prstGeom>
                  <a:noFill/>
                  <a:ln>
                    <a:noFill/>
                  </a:ln>
                </pic:spPr>
              </pic:pic>
            </a:graphicData>
          </a:graphic>
          <wp14:sizeRelV relativeFrom="margin">
            <wp14:pctHeight>0</wp14:pctHeight>
          </wp14:sizeRelV>
        </wp:anchor>
      </w:drawing>
    </w:r>
    <w:r w:rsidR="004509E5" w:rsidRPr="003836B0">
      <w:rPr>
        <w:i/>
        <w:noProof/>
        <w:sz w:val="18"/>
        <w:szCs w:val="18"/>
      </w:rPr>
      <w:drawing>
        <wp:anchor distT="0" distB="0" distL="114300" distR="114300" simplePos="0" relativeHeight="251661312" behindDoc="1" locked="0" layoutInCell="1" allowOverlap="1" wp14:anchorId="7F8CFEE4" wp14:editId="1B46370C">
          <wp:simplePos x="0" y="0"/>
          <wp:positionH relativeFrom="column">
            <wp:posOffset>-582295</wp:posOffset>
          </wp:positionH>
          <wp:positionV relativeFrom="paragraph">
            <wp:posOffset>59690</wp:posOffset>
          </wp:positionV>
          <wp:extent cx="1354455" cy="238125"/>
          <wp:effectExtent l="0" t="0" r="0" b="9525"/>
          <wp:wrapTight wrapText="bothSides">
            <wp:wrapPolygon edited="0">
              <wp:start x="0" y="0"/>
              <wp:lineTo x="0" y="20736"/>
              <wp:lineTo x="20962" y="20736"/>
              <wp:lineTo x="21266" y="12096"/>
              <wp:lineTo x="21266" y="0"/>
              <wp:lineTo x="13671" y="0"/>
              <wp:lineTo x="0" y="0"/>
            </wp:wrapPolygon>
          </wp:wrapTight>
          <wp:docPr id="1" name="Picture 5" descr="ECTA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P:\ECTA\Web and Product Development Work Team\Branding\ectacenter-wordmark-screen-nospellou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4455" cy="238125"/>
                  </a:xfrm>
                  <a:prstGeom prst="rect">
                    <a:avLst/>
                  </a:prstGeom>
                  <a:noFill/>
                  <a:extLst/>
                </pic:spPr>
              </pic:pic>
            </a:graphicData>
          </a:graphic>
          <wp14:sizeRelH relativeFrom="margin">
            <wp14:pctWidth>0</wp14:pctWidth>
          </wp14:sizeRelH>
          <wp14:sizeRelV relativeFrom="margin">
            <wp14:pctHeight>0</wp14:pctHeight>
          </wp14:sizeRelV>
        </wp:anchor>
      </w:drawing>
    </w:r>
  </w:p>
  <w:p w14:paraId="5A04ECCA" w14:textId="77777777" w:rsidR="004509E5" w:rsidRPr="006E19B1" w:rsidRDefault="004509E5" w:rsidP="006E1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3AB2" w14:textId="77777777" w:rsidR="002062B2" w:rsidRDefault="0020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353B" w14:textId="77777777" w:rsidR="002D23E7" w:rsidRDefault="002D23E7" w:rsidP="00763B56">
      <w:r>
        <w:separator/>
      </w:r>
    </w:p>
  </w:footnote>
  <w:footnote w:type="continuationSeparator" w:id="0">
    <w:p w14:paraId="3C965E4B" w14:textId="77777777" w:rsidR="002D23E7" w:rsidRDefault="002D23E7" w:rsidP="0076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3F9A2" w14:textId="77777777" w:rsidR="002062B2" w:rsidRDefault="00206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91DC" w14:textId="77777777" w:rsidR="002062B2" w:rsidRDefault="00206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E5B9" w14:textId="77777777" w:rsidR="002062B2" w:rsidRDefault="00206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96B7A"/>
    <w:multiLevelType w:val="hybridMultilevel"/>
    <w:tmpl w:val="E08E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13247"/>
    <w:multiLevelType w:val="hybridMultilevel"/>
    <w:tmpl w:val="2D9AD0D8"/>
    <w:lvl w:ilvl="0" w:tplc="2F30C794">
      <w:start w:val="201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ach" w:val="COSF"/>
    <w:docVar w:name="approachcount" w:val="42"/>
    <w:docVar w:name="childcount" w:val="16755"/>
    <w:docVar w:name="FYear" w:val="2015-2016"/>
    <w:docVar w:name="OC1_cosmean_a" w:val="1.5%"/>
    <w:docVar w:name="OC1_cosmean_b" w:val="11.5%"/>
    <w:docVar w:name="OC1_cosmean_c" w:val="29.1%"/>
    <w:docVar w:name="OC1_cosmean_d" w:val="34.3%"/>
    <w:docVar w:name="OC1_cosmean_e" w:val="23.6%"/>
    <w:docVar w:name="OC1_lb_a" w:val="-0.7%"/>
    <w:docVar w:name="OC1_lb_b" w:val="-5.6%"/>
    <w:docVar w:name="OC1_lb_c" w:val="3.3%"/>
    <w:docVar w:name="OC1_lb_d" w:val="11.4%"/>
    <w:docVar w:name="OC1_lb_e" w:val="-6.9%"/>
    <w:docVar w:name="OC1_natmean_a" w:val="2.0%"/>
    <w:docVar w:name="OC1_natmean_b" w:val="12.6%"/>
    <w:docVar w:name="OC1_natmean_c" w:val="26.7%"/>
    <w:docVar w:name="OC1_natmean_d" w:val="32.8%"/>
    <w:docVar w:name="OC1_natmean_e" w:val="25.9%"/>
    <w:docVar w:name="OC1_pat_a" w:val="In Range"/>
    <w:docVar w:name="OC1_pat_b" w:val="In Range"/>
    <w:docVar w:name="OC1_pat_c" w:val="In Range"/>
    <w:docVar w:name="OC1_pat_d" w:val="In Range"/>
    <w:docVar w:name="OC1_pat_e" w:val="In Range"/>
    <w:docVar w:name="OC1_percent_a" w:val="0.8%"/>
    <w:docVar w:name="OC1_percent_a1" w:val="In Range_x000d_1%"/>
    <w:docVar w:name="OC1_percent_b" w:val="6.2%"/>
    <w:docVar w:name="OC1_percent_b1" w:val="In Range_x000d_6%"/>
    <w:docVar w:name="OC1_percent_c" w:val="36.3%"/>
    <w:docVar w:name="OC1_percent_c1" w:val="In Range_x000d_36%"/>
    <w:docVar w:name="OC1_percent_d" w:val="40.6%"/>
    <w:docVar w:name="OC1_percent_d1" w:val="In Range_x000d_41%"/>
    <w:docVar w:name="OC1_percent_e" w:val="16.1%"/>
    <w:docVar w:name="OC1_percent_e1" w:val="In Range_x000d_16%"/>
    <w:docVar w:name="OC1_Percentchildcount" w:val="32%"/>
    <w:docVar w:name="OC1_SS2d" w:val="5421"/>
    <w:docVar w:name="OC1_ub_a" w:val="4.7%"/>
    <w:docVar w:name="OC1_ub_b" w:val="30.8%"/>
    <w:docVar w:name="OC1_ub_c" w:val="50.1%"/>
    <w:docVar w:name="OC1_ub_d" w:val="54.2%"/>
    <w:docVar w:name="OC1_ub_e" w:val="58.7%"/>
    <w:docVar w:name="OC2_cosmean_a" w:val="1.2%"/>
    <w:docVar w:name="OC2_cosmean_b" w:val="12.9%"/>
    <w:docVar w:name="OC2_cosmean_c" w:val="33.8%"/>
    <w:docVar w:name="OC2_cosmean_d" w:val="36.0%"/>
    <w:docVar w:name="OC2_cosmean_e" w:val="16.1%"/>
    <w:docVar w:name="OC2_lb_a" w:val="-0.7%"/>
    <w:docVar w:name="OC2_lb_b" w:val="-0.3%"/>
    <w:docVar w:name="OC2_lb_c" w:val="4.4%"/>
    <w:docVar w:name="OC2_lb_d" w:val="11.9%"/>
    <w:docVar w:name="OC2_lb_e" w:val="-12.7%"/>
    <w:docVar w:name="OC2_natmean_a" w:val="1.7%"/>
    <w:docVar w:name="OC2_natmean_b" w:val="13.7%"/>
    <w:docVar w:name="OC2_natmean_c" w:val="31.8%"/>
    <w:docVar w:name="OC2_natmean_d" w:val="34.7%"/>
    <w:docVar w:name="OC2_natmean_e" w:val="18.1%"/>
    <w:docVar w:name="OC2_pat_a" w:val="In Range"/>
    <w:docVar w:name="OC2_pat_b" w:val="In Range"/>
    <w:docVar w:name="OC2_pat_c" w:val="In Range"/>
    <w:docVar w:name="OC2_pat_d" w:val="In Range"/>
    <w:docVar w:name="OC2_pat_e" w:val="In Range"/>
    <w:docVar w:name="OC2_percent_a" w:val="0.5%"/>
    <w:docVar w:name="OC2_percent_a1" w:val="In Range_x000d_1%"/>
    <w:docVar w:name="OC2_percent_b" w:val="5.0%"/>
    <w:docVar w:name="OC2_percent_b1" w:val="In Range_x000d_5%"/>
    <w:docVar w:name="OC2_percent_c" w:val="48.3%"/>
    <w:docVar w:name="OC2_percent_c1" w:val="In Range_x000d_48%"/>
    <w:docVar w:name="OC2_percent_d" w:val="41.6%"/>
    <w:docVar w:name="OC2_percent_d1" w:val="In Range_x000d_42%"/>
    <w:docVar w:name="OC2_percent_e" w:val="4.6%"/>
    <w:docVar w:name="OC2_percent_e1" w:val="In Range_x000d_5%"/>
    <w:docVar w:name="OC2_Percentchildcount" w:val="32%"/>
    <w:docVar w:name="OC2_SS2d" w:val="5421"/>
    <w:docVar w:name="OC2_ub_a" w:val="4.1%"/>
    <w:docVar w:name="OC2_ub_b" w:val="27.7%"/>
    <w:docVar w:name="OC2_ub_c" w:val="59.2%"/>
    <w:docVar w:name="OC2_ub_d" w:val="57.5%"/>
    <w:docVar w:name="OC2_ub_e" w:val="48.9%"/>
    <w:docVar w:name="OC3_cosmean_a" w:val="1.4%"/>
    <w:docVar w:name="OC3_cosmean_b" w:val="10.5%"/>
    <w:docVar w:name="OC3_cosmean_c" w:val="23.1%"/>
    <w:docVar w:name="OC3_cosmean_d" w:val="34.8%"/>
    <w:docVar w:name="OC3_cosmean_e" w:val="30.3%"/>
    <w:docVar w:name="OC3_lb_a" w:val="-0.8%"/>
    <w:docVar w:name="OC3_lb_b" w:val="-6.4%"/>
    <w:docVar w:name="OC3_lb_c" w:val="-2.0%"/>
    <w:docVar w:name="OC3_lb_d" w:val="9.3%"/>
    <w:docVar w:name="OC3_lb_e" w:val="-2.2%"/>
    <w:docVar w:name="OC3_natmean_a" w:val="2.2%"/>
    <w:docVar w:name="OC3_natmean_b" w:val="12.0%"/>
    <w:docVar w:name="OC3_natmean_c" w:val="22.2%"/>
    <w:docVar w:name="OC3_natmean_d" w:val="32.9%"/>
    <w:docVar w:name="OC3_natmean_e" w:val="30.6%"/>
    <w:docVar w:name="OC3_pat_a" w:val="In Range"/>
    <w:docVar w:name="OC3_pat_b" w:val="In Range"/>
    <w:docVar w:name="OC3_pat_c" w:val="In Range"/>
    <w:docVar w:name="OC3_pat_d" w:val="In Range"/>
    <w:docVar w:name="OC3_pat_e" w:val="In Range"/>
    <w:docVar w:name="OC3_percent_a" w:val="0.8%"/>
    <w:docVar w:name="OC3_percent_a1" w:val="In Range_x000d_1%"/>
    <w:docVar w:name="OC3_percent_b" w:val="5.6%"/>
    <w:docVar w:name="OC3_percent_b1" w:val="In Range_x000d_6%"/>
    <w:docVar w:name="OC3_percent_c" w:val="31.0%"/>
    <w:docVar w:name="OC3_percent_c1" w:val="In Range_x000d_31%"/>
    <w:docVar w:name="OC3_percent_d" w:val="42.0%"/>
    <w:docVar w:name="OC3_percent_d1" w:val="In Range_x000d_42%"/>
    <w:docVar w:name="OC3_percent_e" w:val="20.6%"/>
    <w:docVar w:name="OC3_percent_e1" w:val="In Range_x000d_21%"/>
    <w:docVar w:name="OC3_Percentchildcount" w:val="32%"/>
    <w:docVar w:name="OC3_SS2d" w:val="5421"/>
    <w:docVar w:name="OC3_ub_a" w:val="5.2%"/>
    <w:docVar w:name="OC3_ub_b" w:val="30.4%"/>
    <w:docVar w:name="OC3_ub_c" w:val="46.4%"/>
    <w:docVar w:name="OC3_ub_d" w:val="56.5%"/>
    <w:docVar w:name="OC3_ub_e" w:val="63.4%"/>
    <w:docVar w:name="Statename" w:val="Virginia"/>
  </w:docVars>
  <w:rsids>
    <w:rsidRoot w:val="00D7090F"/>
    <w:rsid w:val="00013930"/>
    <w:rsid w:val="00024201"/>
    <w:rsid w:val="000313C6"/>
    <w:rsid w:val="00037348"/>
    <w:rsid w:val="000A0508"/>
    <w:rsid w:val="000A75D5"/>
    <w:rsid w:val="000B364D"/>
    <w:rsid w:val="000C1C7E"/>
    <w:rsid w:val="000E0F0F"/>
    <w:rsid w:val="00126663"/>
    <w:rsid w:val="00127A86"/>
    <w:rsid w:val="00156BF4"/>
    <w:rsid w:val="001662C3"/>
    <w:rsid w:val="0017276E"/>
    <w:rsid w:val="00172B0F"/>
    <w:rsid w:val="001810AC"/>
    <w:rsid w:val="00185B1E"/>
    <w:rsid w:val="001A0AB9"/>
    <w:rsid w:val="001B0C1B"/>
    <w:rsid w:val="001B37BD"/>
    <w:rsid w:val="001B4524"/>
    <w:rsid w:val="001C344B"/>
    <w:rsid w:val="001C4D5F"/>
    <w:rsid w:val="001C5ED1"/>
    <w:rsid w:val="001D0B67"/>
    <w:rsid w:val="001D4C08"/>
    <w:rsid w:val="001D5287"/>
    <w:rsid w:val="001F5809"/>
    <w:rsid w:val="001F5932"/>
    <w:rsid w:val="002062B2"/>
    <w:rsid w:val="00227000"/>
    <w:rsid w:val="00262327"/>
    <w:rsid w:val="002A3363"/>
    <w:rsid w:val="002B3AB7"/>
    <w:rsid w:val="002B7579"/>
    <w:rsid w:val="002D23E7"/>
    <w:rsid w:val="002F59D6"/>
    <w:rsid w:val="00303594"/>
    <w:rsid w:val="003068B0"/>
    <w:rsid w:val="00310899"/>
    <w:rsid w:val="0032562F"/>
    <w:rsid w:val="003449C6"/>
    <w:rsid w:val="00344B35"/>
    <w:rsid w:val="00353E44"/>
    <w:rsid w:val="003714BE"/>
    <w:rsid w:val="00386F70"/>
    <w:rsid w:val="00391457"/>
    <w:rsid w:val="003A06A7"/>
    <w:rsid w:val="003B38F1"/>
    <w:rsid w:val="003B4843"/>
    <w:rsid w:val="003C481C"/>
    <w:rsid w:val="003D4052"/>
    <w:rsid w:val="003E7B7C"/>
    <w:rsid w:val="003F729E"/>
    <w:rsid w:val="00406B45"/>
    <w:rsid w:val="00410431"/>
    <w:rsid w:val="00420405"/>
    <w:rsid w:val="00420BD0"/>
    <w:rsid w:val="004249AF"/>
    <w:rsid w:val="00440618"/>
    <w:rsid w:val="004509E5"/>
    <w:rsid w:val="00475874"/>
    <w:rsid w:val="00477DFB"/>
    <w:rsid w:val="00496C02"/>
    <w:rsid w:val="004A545D"/>
    <w:rsid w:val="004B0C77"/>
    <w:rsid w:val="004D64CD"/>
    <w:rsid w:val="004E1F51"/>
    <w:rsid w:val="004E6D8F"/>
    <w:rsid w:val="004F466B"/>
    <w:rsid w:val="004F575E"/>
    <w:rsid w:val="005024B0"/>
    <w:rsid w:val="0051090E"/>
    <w:rsid w:val="005238C5"/>
    <w:rsid w:val="0053789A"/>
    <w:rsid w:val="00566A2C"/>
    <w:rsid w:val="00571609"/>
    <w:rsid w:val="0059348D"/>
    <w:rsid w:val="005B2F24"/>
    <w:rsid w:val="005B3693"/>
    <w:rsid w:val="005C7003"/>
    <w:rsid w:val="005C7F88"/>
    <w:rsid w:val="005D26C6"/>
    <w:rsid w:val="005E5667"/>
    <w:rsid w:val="00614D0D"/>
    <w:rsid w:val="0061667C"/>
    <w:rsid w:val="0062164C"/>
    <w:rsid w:val="00635F94"/>
    <w:rsid w:val="00670250"/>
    <w:rsid w:val="00694C96"/>
    <w:rsid w:val="006B1795"/>
    <w:rsid w:val="006C2F27"/>
    <w:rsid w:val="006D0ADD"/>
    <w:rsid w:val="006E19B1"/>
    <w:rsid w:val="006E60CC"/>
    <w:rsid w:val="00704A03"/>
    <w:rsid w:val="00714C82"/>
    <w:rsid w:val="00733405"/>
    <w:rsid w:val="00763B56"/>
    <w:rsid w:val="00763C03"/>
    <w:rsid w:val="00764FFF"/>
    <w:rsid w:val="00770198"/>
    <w:rsid w:val="007762B9"/>
    <w:rsid w:val="007B73A1"/>
    <w:rsid w:val="007C3ABB"/>
    <w:rsid w:val="007F1019"/>
    <w:rsid w:val="007F2996"/>
    <w:rsid w:val="00820831"/>
    <w:rsid w:val="00824F38"/>
    <w:rsid w:val="008415F3"/>
    <w:rsid w:val="008514D3"/>
    <w:rsid w:val="00853322"/>
    <w:rsid w:val="00885D63"/>
    <w:rsid w:val="00892802"/>
    <w:rsid w:val="00897287"/>
    <w:rsid w:val="008B54EF"/>
    <w:rsid w:val="008B59A1"/>
    <w:rsid w:val="008E2914"/>
    <w:rsid w:val="008F47FC"/>
    <w:rsid w:val="009079A0"/>
    <w:rsid w:val="00910441"/>
    <w:rsid w:val="00910BD4"/>
    <w:rsid w:val="00922E47"/>
    <w:rsid w:val="00931AB0"/>
    <w:rsid w:val="00942FA2"/>
    <w:rsid w:val="009456E1"/>
    <w:rsid w:val="00962EB0"/>
    <w:rsid w:val="00964A48"/>
    <w:rsid w:val="0097493E"/>
    <w:rsid w:val="009921DB"/>
    <w:rsid w:val="00997481"/>
    <w:rsid w:val="009D26C7"/>
    <w:rsid w:val="009D6F0A"/>
    <w:rsid w:val="009E17EC"/>
    <w:rsid w:val="009E2F60"/>
    <w:rsid w:val="00A0451A"/>
    <w:rsid w:val="00A0625A"/>
    <w:rsid w:val="00A20EC9"/>
    <w:rsid w:val="00A51AA1"/>
    <w:rsid w:val="00A97141"/>
    <w:rsid w:val="00AB3797"/>
    <w:rsid w:val="00AB7D50"/>
    <w:rsid w:val="00AD700B"/>
    <w:rsid w:val="00B018CD"/>
    <w:rsid w:val="00B03CE9"/>
    <w:rsid w:val="00B040C2"/>
    <w:rsid w:val="00B07232"/>
    <w:rsid w:val="00B250CA"/>
    <w:rsid w:val="00B52C2E"/>
    <w:rsid w:val="00B54855"/>
    <w:rsid w:val="00B72436"/>
    <w:rsid w:val="00B77532"/>
    <w:rsid w:val="00B9483B"/>
    <w:rsid w:val="00BC1000"/>
    <w:rsid w:val="00BE5DF2"/>
    <w:rsid w:val="00BF49B0"/>
    <w:rsid w:val="00C2747D"/>
    <w:rsid w:val="00C458B8"/>
    <w:rsid w:val="00C622B1"/>
    <w:rsid w:val="00C7767E"/>
    <w:rsid w:val="00C96733"/>
    <w:rsid w:val="00C96AB3"/>
    <w:rsid w:val="00CA1707"/>
    <w:rsid w:val="00CB30BE"/>
    <w:rsid w:val="00CC7B07"/>
    <w:rsid w:val="00CD01A7"/>
    <w:rsid w:val="00CF3B84"/>
    <w:rsid w:val="00CF4C4C"/>
    <w:rsid w:val="00D1426A"/>
    <w:rsid w:val="00D1740A"/>
    <w:rsid w:val="00D174C5"/>
    <w:rsid w:val="00D271D4"/>
    <w:rsid w:val="00D40E8A"/>
    <w:rsid w:val="00D475FD"/>
    <w:rsid w:val="00D55748"/>
    <w:rsid w:val="00D67072"/>
    <w:rsid w:val="00D7090F"/>
    <w:rsid w:val="00D81397"/>
    <w:rsid w:val="00DA00B9"/>
    <w:rsid w:val="00DB0D91"/>
    <w:rsid w:val="00DD22B6"/>
    <w:rsid w:val="00DD58AB"/>
    <w:rsid w:val="00DE4358"/>
    <w:rsid w:val="00DF1CC9"/>
    <w:rsid w:val="00E105C3"/>
    <w:rsid w:val="00E43FFE"/>
    <w:rsid w:val="00E457B2"/>
    <w:rsid w:val="00E50314"/>
    <w:rsid w:val="00E65CF0"/>
    <w:rsid w:val="00E915D3"/>
    <w:rsid w:val="00E96F0A"/>
    <w:rsid w:val="00E97FDF"/>
    <w:rsid w:val="00EA389C"/>
    <w:rsid w:val="00EB63B9"/>
    <w:rsid w:val="00ED3DC9"/>
    <w:rsid w:val="00EF4DD5"/>
    <w:rsid w:val="00F05ED8"/>
    <w:rsid w:val="00F13B8F"/>
    <w:rsid w:val="00F24D0D"/>
    <w:rsid w:val="00F325EA"/>
    <w:rsid w:val="00F32A5C"/>
    <w:rsid w:val="00F62947"/>
    <w:rsid w:val="00F6652C"/>
    <w:rsid w:val="00F67710"/>
    <w:rsid w:val="00F94CA2"/>
    <w:rsid w:val="00FA38E7"/>
    <w:rsid w:val="00FB7F99"/>
    <w:rsid w:val="00FD71ED"/>
    <w:rsid w:val="00FE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D110E"/>
  <w14:defaultImageDpi w14:val="300"/>
  <w15:docId w15:val="{9BD880B6-2E9B-47AB-B216-46367D5F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EF"/>
    <w:rPr>
      <w:sz w:val="24"/>
      <w:szCs w:val="24"/>
    </w:rPr>
  </w:style>
  <w:style w:type="paragraph" w:styleId="Heading1">
    <w:name w:val="heading 1"/>
    <w:basedOn w:val="Normal"/>
    <w:next w:val="Normal"/>
    <w:link w:val="Heading1Char"/>
    <w:uiPriority w:val="9"/>
    <w:qFormat/>
    <w:rsid w:val="000139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9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997481"/>
    <w:rPr>
      <w:rFonts w:eastAsia="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997481"/>
    <w:rPr>
      <w:rFonts w:ascii="Lucida Grande" w:hAnsi="Lucida Grande" w:cs="Lucida Grande"/>
      <w:sz w:val="18"/>
      <w:szCs w:val="18"/>
    </w:rPr>
  </w:style>
  <w:style w:type="character" w:customStyle="1" w:styleId="BalloonTextChar">
    <w:name w:val="Balloon Text Char"/>
    <w:link w:val="BalloonText"/>
    <w:uiPriority w:val="99"/>
    <w:semiHidden/>
    <w:rsid w:val="00997481"/>
    <w:rPr>
      <w:rFonts w:ascii="Lucida Grande" w:hAnsi="Lucida Grande" w:cs="Lucida Grande"/>
      <w:sz w:val="18"/>
      <w:szCs w:val="18"/>
    </w:rPr>
  </w:style>
  <w:style w:type="paragraph" w:styleId="Header">
    <w:name w:val="header"/>
    <w:basedOn w:val="Normal"/>
    <w:link w:val="HeaderChar"/>
    <w:uiPriority w:val="99"/>
    <w:unhideWhenUsed/>
    <w:rsid w:val="00763B56"/>
    <w:pPr>
      <w:tabs>
        <w:tab w:val="center" w:pos="4680"/>
        <w:tab w:val="right" w:pos="9360"/>
      </w:tabs>
    </w:pPr>
  </w:style>
  <w:style w:type="character" w:customStyle="1" w:styleId="HeaderChar">
    <w:name w:val="Header Char"/>
    <w:link w:val="Header"/>
    <w:uiPriority w:val="99"/>
    <w:rsid w:val="00763B56"/>
    <w:rPr>
      <w:sz w:val="24"/>
      <w:szCs w:val="24"/>
    </w:rPr>
  </w:style>
  <w:style w:type="paragraph" w:styleId="Footer">
    <w:name w:val="footer"/>
    <w:basedOn w:val="Normal"/>
    <w:link w:val="FooterChar"/>
    <w:uiPriority w:val="99"/>
    <w:unhideWhenUsed/>
    <w:rsid w:val="00763B56"/>
    <w:pPr>
      <w:tabs>
        <w:tab w:val="center" w:pos="4680"/>
        <w:tab w:val="right" w:pos="9360"/>
      </w:tabs>
    </w:pPr>
  </w:style>
  <w:style w:type="character" w:customStyle="1" w:styleId="FooterChar">
    <w:name w:val="Footer Char"/>
    <w:link w:val="Footer"/>
    <w:uiPriority w:val="99"/>
    <w:rsid w:val="00763B56"/>
    <w:rPr>
      <w:sz w:val="24"/>
      <w:szCs w:val="24"/>
    </w:rPr>
  </w:style>
  <w:style w:type="character" w:styleId="Hyperlink">
    <w:name w:val="Hyperlink"/>
    <w:uiPriority w:val="99"/>
    <w:unhideWhenUsed/>
    <w:rsid w:val="00DB0D91"/>
    <w:rPr>
      <w:color w:val="0000FF"/>
      <w:u w:val="single"/>
    </w:rPr>
  </w:style>
  <w:style w:type="character" w:styleId="Strong">
    <w:name w:val="Strong"/>
    <w:basedOn w:val="DefaultParagraphFont"/>
    <w:uiPriority w:val="22"/>
    <w:qFormat/>
    <w:rsid w:val="001D0B67"/>
    <w:rPr>
      <w:b/>
      <w:bCs/>
    </w:rPr>
  </w:style>
  <w:style w:type="paragraph" w:styleId="ListParagraph">
    <w:name w:val="List Paragraph"/>
    <w:basedOn w:val="Normal"/>
    <w:uiPriority w:val="34"/>
    <w:qFormat/>
    <w:rsid w:val="001D0B67"/>
    <w:pPr>
      <w:ind w:left="720"/>
      <w:contextualSpacing/>
    </w:pPr>
  </w:style>
  <w:style w:type="character" w:styleId="CommentReference">
    <w:name w:val="annotation reference"/>
    <w:basedOn w:val="DefaultParagraphFont"/>
    <w:uiPriority w:val="99"/>
    <w:semiHidden/>
    <w:unhideWhenUsed/>
    <w:rsid w:val="001D0B67"/>
    <w:rPr>
      <w:sz w:val="16"/>
      <w:szCs w:val="16"/>
    </w:rPr>
  </w:style>
  <w:style w:type="paragraph" w:styleId="CommentText">
    <w:name w:val="annotation text"/>
    <w:basedOn w:val="Normal"/>
    <w:link w:val="CommentTextChar"/>
    <w:uiPriority w:val="99"/>
    <w:semiHidden/>
    <w:unhideWhenUsed/>
    <w:rsid w:val="001D0B67"/>
    <w:rPr>
      <w:sz w:val="20"/>
      <w:szCs w:val="20"/>
    </w:rPr>
  </w:style>
  <w:style w:type="character" w:customStyle="1" w:styleId="CommentTextChar">
    <w:name w:val="Comment Text Char"/>
    <w:basedOn w:val="DefaultParagraphFont"/>
    <w:link w:val="CommentText"/>
    <w:uiPriority w:val="99"/>
    <w:semiHidden/>
    <w:rsid w:val="001D0B67"/>
  </w:style>
  <w:style w:type="paragraph" w:styleId="CommentSubject">
    <w:name w:val="annotation subject"/>
    <w:basedOn w:val="CommentText"/>
    <w:next w:val="CommentText"/>
    <w:link w:val="CommentSubjectChar"/>
    <w:uiPriority w:val="99"/>
    <w:semiHidden/>
    <w:unhideWhenUsed/>
    <w:rsid w:val="001D0B67"/>
    <w:rPr>
      <w:b/>
      <w:bCs/>
    </w:rPr>
  </w:style>
  <w:style w:type="character" w:customStyle="1" w:styleId="CommentSubjectChar">
    <w:name w:val="Comment Subject Char"/>
    <w:basedOn w:val="CommentTextChar"/>
    <w:link w:val="CommentSubject"/>
    <w:uiPriority w:val="99"/>
    <w:semiHidden/>
    <w:rsid w:val="001D0B67"/>
    <w:rPr>
      <w:b/>
      <w:bCs/>
    </w:rPr>
  </w:style>
  <w:style w:type="table" w:styleId="TableGrid">
    <w:name w:val="Table Grid"/>
    <w:basedOn w:val="TableNormal"/>
    <w:uiPriority w:val="59"/>
    <w:rsid w:val="001D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0B67"/>
    <w:rPr>
      <w:i/>
      <w:iCs/>
    </w:rPr>
  </w:style>
  <w:style w:type="character" w:styleId="BookTitle">
    <w:name w:val="Book Title"/>
    <w:basedOn w:val="DefaultParagraphFont"/>
    <w:uiPriority w:val="33"/>
    <w:qFormat/>
    <w:rsid w:val="001D0B67"/>
    <w:rPr>
      <w:b/>
      <w:bCs/>
      <w:i/>
      <w:iCs/>
      <w:spacing w:val="5"/>
    </w:rPr>
  </w:style>
  <w:style w:type="table" w:customStyle="1" w:styleId="GridTable1Light-Accent41">
    <w:name w:val="Grid Table 1 Light - Accent 41"/>
    <w:basedOn w:val="TableNormal"/>
    <w:uiPriority w:val="46"/>
    <w:rsid w:val="001D0B6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D0B67"/>
    <w:rPr>
      <w:color w:val="800080" w:themeColor="followedHyperlink"/>
      <w:u w:val="single"/>
    </w:rPr>
  </w:style>
  <w:style w:type="character" w:customStyle="1" w:styleId="Heading1Char">
    <w:name w:val="Heading 1 Char"/>
    <w:basedOn w:val="DefaultParagraphFont"/>
    <w:link w:val="Heading1"/>
    <w:uiPriority w:val="9"/>
    <w:rsid w:val="000139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1393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54855"/>
    <w:pPr>
      <w:spacing w:line="259" w:lineRule="auto"/>
      <w:outlineLvl w:val="9"/>
    </w:pPr>
  </w:style>
  <w:style w:type="paragraph" w:styleId="TOC1">
    <w:name w:val="toc 1"/>
    <w:basedOn w:val="Normal"/>
    <w:next w:val="Normal"/>
    <w:autoRedefine/>
    <w:uiPriority w:val="39"/>
    <w:unhideWhenUsed/>
    <w:rsid w:val="00B54855"/>
    <w:pPr>
      <w:spacing w:after="100"/>
    </w:pPr>
  </w:style>
  <w:style w:type="paragraph" w:styleId="TOC2">
    <w:name w:val="toc 2"/>
    <w:basedOn w:val="Normal"/>
    <w:next w:val="Normal"/>
    <w:autoRedefine/>
    <w:uiPriority w:val="39"/>
    <w:unhideWhenUsed/>
    <w:rsid w:val="00B54855"/>
    <w:pPr>
      <w:spacing w:after="100"/>
      <w:ind w:left="240"/>
    </w:pPr>
  </w:style>
  <w:style w:type="paragraph" w:styleId="Revision">
    <w:name w:val="Revision"/>
    <w:hidden/>
    <w:uiPriority w:val="99"/>
    <w:semiHidden/>
    <w:rsid w:val="004509E5"/>
    <w:rPr>
      <w:sz w:val="24"/>
      <w:szCs w:val="24"/>
    </w:rPr>
  </w:style>
  <w:style w:type="paragraph" w:customStyle="1" w:styleId="Default">
    <w:name w:val="Default"/>
    <w:rsid w:val="00DD58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5263">
      <w:bodyDiv w:val="1"/>
      <w:marLeft w:val="0"/>
      <w:marRight w:val="0"/>
      <w:marTop w:val="0"/>
      <w:marBottom w:val="0"/>
      <w:divBdr>
        <w:top w:val="none" w:sz="0" w:space="0" w:color="auto"/>
        <w:left w:val="none" w:sz="0" w:space="0" w:color="auto"/>
        <w:bottom w:val="none" w:sz="0" w:space="0" w:color="auto"/>
        <w:right w:val="none" w:sz="0" w:space="0" w:color="auto"/>
      </w:divBdr>
    </w:div>
    <w:div w:id="142098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1D53-036B-4444-8731-6185E79A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2015-2016 National and Virginia Indicator 7 data.</vt:lpstr>
    </vt:vector>
  </TitlesOfParts>
  <Company>SRI International</Company>
  <LinksUpToDate>false</LinksUpToDate>
  <CharactersWithSpaces>155</CharactersWithSpaces>
  <SharedDoc>false</SharedDoc>
  <HyperlinkBase>C:\Users\pthornton\Desktop\data guild\ECO\ECO Charts\</HyperlinkBase>
  <HLinks>
    <vt:vector size="12" baseType="variant">
      <vt:variant>
        <vt:i4>917527</vt:i4>
      </vt:variant>
      <vt:variant>
        <vt:i4>2208</vt:i4>
      </vt:variant>
      <vt:variant>
        <vt:i4>1025</vt:i4>
      </vt:variant>
      <vt:variant>
        <vt:i4>1</vt:i4>
      </vt:variant>
      <vt:variant>
        <vt:lpwstr>\\Policy4\org 653\Projects\CURRENT PROJECTS\ECO2 (P18693)\GPRA analysis\for Patrick NEW\Revised Excel_USE THIS ONE\ECO Charts\AKPartB_2011_S1.png</vt:lpwstr>
      </vt:variant>
      <vt:variant>
        <vt:lpwstr/>
      </vt:variant>
      <vt:variant>
        <vt:i4>917524</vt:i4>
      </vt:variant>
      <vt:variant>
        <vt:i4>2271</vt:i4>
      </vt:variant>
      <vt:variant>
        <vt:i4>1026</vt:i4>
      </vt:variant>
      <vt:variant>
        <vt:i4>1</vt:i4>
      </vt:variant>
      <vt:variant>
        <vt:lpwstr>\\Policy4\org 653\Projects\CURRENT PROJECTS\ECO2 (P18693)\GPRA analysis\for Patrick NEW\Revised Excel_USE THIS ONE\ECO Charts\AKPartB_2011_S2.png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National and Virginia Indicator 7 data.</dc:title>
  <dc:creator>policy</dc:creator>
  <cp:lastModifiedBy>Clare M  Talbert</cp:lastModifiedBy>
  <cp:revision>2</cp:revision>
  <cp:lastPrinted>2017-09-05T21:28:00Z</cp:lastPrinted>
  <dcterms:created xsi:type="dcterms:W3CDTF">2018-03-28T13:15:00Z</dcterms:created>
  <dcterms:modified xsi:type="dcterms:W3CDTF">2018-03-28T13:15:00Z</dcterms:modified>
</cp:coreProperties>
</file>