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5"/>
        <w:ind w:left="99" w:right="0" w:firstLine="0"/>
        <w:jc w:val="left"/>
        <w:rPr>
          <w:b/>
          <w:sz w:val="28"/>
        </w:rPr>
      </w:pPr>
      <w:r>
        <w:rPr>
          <w:b/>
          <w:sz w:val="28"/>
        </w:rPr>
        <w:drawing>
          <wp:anchor distT="0" distB="0" distL="0" distR="0" allowOverlap="1" layoutInCell="1" locked="0" behindDoc="0" simplePos="0" relativeHeight="15729152">
            <wp:simplePos x="0" y="0"/>
            <wp:positionH relativeFrom="page">
              <wp:posOffset>5523229</wp:posOffset>
            </wp:positionH>
            <wp:positionV relativeFrom="paragraph">
              <wp:posOffset>280034</wp:posOffset>
            </wp:positionV>
            <wp:extent cx="1593151" cy="987423"/>
            <wp:effectExtent l="0" t="0" r="0" b="0"/>
            <wp:wrapNone/>
            <wp:docPr id="1" name="Image 1" descr="P2#y1"/>
            <wp:cNvGraphicFramePr>
              <a:graphicFrameLocks/>
            </wp:cNvGraphicFramePr>
            <a:graphic>
              <a:graphicData uri="http://schemas.openxmlformats.org/drawingml/2006/picture">
                <pic:pic>
                  <pic:nvPicPr>
                    <pic:cNvPr id="1" name="Image 1" descr="P2#y1"/>
                    <pic:cNvPicPr/>
                  </pic:nvPicPr>
                  <pic:blipFill>
                    <a:blip r:embed="rId5" cstate="print"/>
                    <a:stretch>
                      <a:fillRect/>
                    </a:stretch>
                  </pic:blipFill>
                  <pic:spPr>
                    <a:xfrm>
                      <a:off x="0" y="0"/>
                      <a:ext cx="1593151" cy="987423"/>
                    </a:xfrm>
                    <a:prstGeom prst="rect">
                      <a:avLst/>
                    </a:prstGeom>
                  </pic:spPr>
                </pic:pic>
              </a:graphicData>
            </a:graphic>
          </wp:anchor>
        </w:drawing>
      </w:r>
      <w:r>
        <w:rPr>
          <w:b/>
          <w:color w:val="2C5593"/>
          <w:spacing w:val="-2"/>
          <w:sz w:val="28"/>
        </w:rPr>
        <w:t>Meeting</w:t>
      </w:r>
      <w:r>
        <w:rPr>
          <w:b/>
          <w:color w:val="2C5593"/>
          <w:spacing w:val="-11"/>
          <w:sz w:val="28"/>
        </w:rPr>
        <w:t> </w:t>
      </w:r>
      <w:r>
        <w:rPr>
          <w:b/>
          <w:color w:val="2C5593"/>
          <w:spacing w:val="-2"/>
          <w:sz w:val="28"/>
        </w:rPr>
        <w:t>Your</w:t>
      </w:r>
      <w:r>
        <w:rPr>
          <w:b/>
          <w:color w:val="2C5593"/>
          <w:spacing w:val="-16"/>
          <w:sz w:val="28"/>
        </w:rPr>
        <w:t> </w:t>
      </w:r>
      <w:r>
        <w:rPr>
          <w:b/>
          <w:color w:val="2C5593"/>
          <w:spacing w:val="-2"/>
          <w:sz w:val="28"/>
        </w:rPr>
        <w:t>Child’s</w:t>
      </w:r>
      <w:r>
        <w:rPr>
          <w:b/>
          <w:color w:val="2C5593"/>
          <w:spacing w:val="-15"/>
          <w:sz w:val="28"/>
        </w:rPr>
        <w:t> </w:t>
      </w:r>
      <w:r>
        <w:rPr>
          <w:b/>
          <w:color w:val="2C5593"/>
          <w:spacing w:val="-2"/>
          <w:sz w:val="28"/>
        </w:rPr>
        <w:t>Special</w:t>
      </w:r>
      <w:r>
        <w:rPr>
          <w:b/>
          <w:color w:val="2C5593"/>
          <w:spacing w:val="-12"/>
          <w:sz w:val="28"/>
        </w:rPr>
        <w:t> </w:t>
      </w:r>
      <w:r>
        <w:rPr>
          <w:b/>
          <w:color w:val="2C5593"/>
          <w:spacing w:val="-2"/>
          <w:sz w:val="28"/>
        </w:rPr>
        <w:t>Needs</w:t>
      </w:r>
      <w:r>
        <w:rPr>
          <w:b/>
          <w:color w:val="2C5593"/>
          <w:spacing w:val="-12"/>
          <w:sz w:val="28"/>
        </w:rPr>
        <w:t> </w:t>
      </w:r>
      <w:r>
        <w:rPr>
          <w:b/>
          <w:color w:val="2C5593"/>
          <w:spacing w:val="-2"/>
          <w:sz w:val="28"/>
        </w:rPr>
        <w:t>in</w:t>
      </w:r>
      <w:r>
        <w:rPr>
          <w:b/>
          <w:color w:val="2C5593"/>
          <w:spacing w:val="-11"/>
          <w:sz w:val="28"/>
        </w:rPr>
        <w:t> </w:t>
      </w:r>
      <w:r>
        <w:rPr>
          <w:b/>
          <w:color w:val="2C5593"/>
          <w:spacing w:val="-2"/>
          <w:sz w:val="28"/>
        </w:rPr>
        <w:t>an</w:t>
      </w:r>
      <w:r>
        <w:rPr>
          <w:b/>
          <w:color w:val="2C5593"/>
          <w:spacing w:val="-11"/>
          <w:sz w:val="28"/>
        </w:rPr>
        <w:t> </w:t>
      </w:r>
      <w:r>
        <w:rPr>
          <w:b/>
          <w:color w:val="2C5593"/>
          <w:spacing w:val="-2"/>
          <w:sz w:val="28"/>
        </w:rPr>
        <w:t>Early</w:t>
      </w:r>
      <w:r>
        <w:rPr>
          <w:b/>
          <w:color w:val="2C5593"/>
          <w:spacing w:val="-11"/>
          <w:sz w:val="28"/>
        </w:rPr>
        <w:t> </w:t>
      </w:r>
      <w:r>
        <w:rPr>
          <w:b/>
          <w:color w:val="2C5593"/>
          <w:spacing w:val="-2"/>
          <w:sz w:val="28"/>
        </w:rPr>
        <w:t>Childhood</w:t>
      </w:r>
      <w:r>
        <w:rPr>
          <w:b/>
          <w:color w:val="2C5593"/>
          <w:spacing w:val="-12"/>
          <w:sz w:val="28"/>
        </w:rPr>
        <w:t> </w:t>
      </w:r>
      <w:r>
        <w:rPr>
          <w:b/>
          <w:color w:val="2C5593"/>
          <w:spacing w:val="-2"/>
          <w:sz w:val="28"/>
        </w:rPr>
        <w:t>Program</w:t>
      </w:r>
    </w:p>
    <w:p>
      <w:pPr>
        <w:pStyle w:val="Heading1"/>
        <w:spacing w:line="290" w:lineRule="auto"/>
      </w:pPr>
      <w:r>
        <w:rPr>
          <w:color w:val="004080"/>
        </w:rPr>
        <w:t>Itinerant Early Childhood Special</w:t>
      </w:r>
      <w:r>
        <w:rPr>
          <w:color w:val="004080"/>
          <w:spacing w:val="-33"/>
        </w:rPr>
        <w:t> </w:t>
      </w:r>
      <w:r>
        <w:rPr>
          <w:color w:val="004080"/>
        </w:rPr>
        <w:t>Education</w:t>
      </w:r>
      <w:r>
        <w:rPr>
          <w:color w:val="004080"/>
          <w:spacing w:val="-34"/>
        </w:rPr>
        <w:t> </w:t>
      </w:r>
      <w:r>
        <w:rPr>
          <w:color w:val="004080"/>
        </w:rPr>
        <w:t>Services</w:t>
      </w:r>
    </w:p>
    <w:p>
      <w:pPr>
        <w:pStyle w:val="BodyText"/>
        <w:spacing w:before="7"/>
        <w:ind w:left="0" w:firstLine="0"/>
        <w:rPr>
          <w:b/>
          <w:sz w:val="13"/>
        </w:rPr>
      </w:pPr>
      <w:r>
        <w:rPr>
          <w:b/>
          <w:sz w:val="13"/>
        </w:rPr>
        <mc:AlternateContent>
          <mc:Choice Requires="wps">
            <w:drawing>
              <wp:anchor distT="0" distB="0" distL="0" distR="0" allowOverlap="1" layoutInCell="1" locked="0" behindDoc="1" simplePos="0" relativeHeight="487587840">
                <wp:simplePos x="0" y="0"/>
                <wp:positionH relativeFrom="page">
                  <wp:posOffset>780413</wp:posOffset>
                </wp:positionH>
                <wp:positionV relativeFrom="paragraph">
                  <wp:posOffset>113590</wp:posOffset>
                </wp:positionV>
                <wp:extent cx="622046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220460" cy="1270"/>
                        </a:xfrm>
                        <a:custGeom>
                          <a:avLst/>
                          <a:gdLst/>
                          <a:ahLst/>
                          <a:cxnLst/>
                          <a:rect l="l" t="t" r="r" b="b"/>
                          <a:pathLst>
                            <a:path w="6220460" h="0">
                              <a:moveTo>
                                <a:pt x="0" y="0"/>
                              </a:moveTo>
                              <a:lnTo>
                                <a:pt x="6220460" y="0"/>
                              </a:lnTo>
                            </a:path>
                          </a:pathLst>
                        </a:custGeom>
                        <a:ln w="28575">
                          <a:solidFill>
                            <a:srgbClr val="2E5D9E"/>
                          </a:solidFill>
                          <a:prstDash val="solid"/>
                        </a:ln>
                      </wps:spPr>
                      <wps:bodyPr wrap="square" lIns="0" tIns="0" rIns="0" bIns="0" rtlCol="0">
                        <a:prstTxWarp prst="textNoShape">
                          <a:avLst/>
                        </a:prstTxWarp>
                        <a:noAutofit/>
                      </wps:bodyPr>
                    </wps:wsp>
                  </a:graphicData>
                </a:graphic>
              </wp:anchor>
            </w:drawing>
          </mc:Choice>
          <mc:Fallback>
            <w:pict>
              <v:shape style="position:absolute;margin-left:61.449902pt;margin-top:8.944152pt;width:489.8pt;height:.1pt;mso-position-horizontal-relative:page;mso-position-vertical-relative:paragraph;z-index:-15728640;mso-wrap-distance-left:0;mso-wrap-distance-right:0" id="docshape1" coordorigin="1229,179" coordsize="9796,0" path="m1229,179l11025,179e" filled="false" stroked="true" strokeweight="2.25pt" strokecolor="#2e5d9e">
                <v:path arrowok="t"/>
                <v:stroke dashstyle="solid"/>
                <w10:wrap type="topAndBottom"/>
              </v:shape>
            </w:pict>
          </mc:Fallback>
        </mc:AlternateContent>
      </w:r>
    </w:p>
    <w:p>
      <w:pPr>
        <w:spacing w:line="285" w:lineRule="auto" w:before="238"/>
        <w:ind w:left="226" w:right="489" w:firstLine="0"/>
        <w:jc w:val="left"/>
        <w:rPr>
          <w:i/>
          <w:sz w:val="23"/>
        </w:rPr>
      </w:pPr>
      <w:r>
        <w:rPr>
          <w:i/>
          <w:sz w:val="23"/>
        </w:rPr>
        <w:t>Local school divisions provide special education services for young children, ages two to five,</w:t>
      </w:r>
      <w:r>
        <w:rPr>
          <w:i/>
          <w:sz w:val="23"/>
        </w:rPr>
        <w:t> who have developmental delays or disabilities. Depending on the learning needs of the child, these services may be provided in high-quality early childhood care and education (ECCE) settings such as Virginia Preschool Initiative, Head Start, Mixed Delivery, child care, and community-based</w:t>
      </w:r>
      <w:r>
        <w:rPr>
          <w:i/>
          <w:spacing w:val="-5"/>
          <w:sz w:val="23"/>
        </w:rPr>
        <w:t> </w:t>
      </w:r>
      <w:r>
        <w:rPr>
          <w:i/>
          <w:sz w:val="23"/>
        </w:rPr>
        <w:t>preschool</w:t>
      </w:r>
      <w:r>
        <w:rPr>
          <w:i/>
          <w:spacing w:val="-4"/>
          <w:sz w:val="23"/>
        </w:rPr>
        <w:t> </w:t>
      </w:r>
      <w:r>
        <w:rPr>
          <w:i/>
          <w:sz w:val="23"/>
        </w:rPr>
        <w:t>programs.</w:t>
      </w:r>
      <w:r>
        <w:rPr>
          <w:i/>
          <w:spacing w:val="-4"/>
          <w:sz w:val="23"/>
        </w:rPr>
        <w:t> </w:t>
      </w:r>
      <w:r>
        <w:rPr>
          <w:i/>
          <w:sz w:val="23"/>
        </w:rPr>
        <w:t>When</w:t>
      </w:r>
      <w:r>
        <w:rPr>
          <w:i/>
          <w:spacing w:val="-6"/>
          <w:sz w:val="23"/>
        </w:rPr>
        <w:t> </w:t>
      </w:r>
      <w:r>
        <w:rPr>
          <w:i/>
          <w:sz w:val="23"/>
        </w:rPr>
        <w:t>special</w:t>
      </w:r>
      <w:r>
        <w:rPr>
          <w:i/>
          <w:spacing w:val="-4"/>
          <w:sz w:val="23"/>
        </w:rPr>
        <w:t> </w:t>
      </w:r>
      <w:r>
        <w:rPr>
          <w:i/>
          <w:sz w:val="23"/>
        </w:rPr>
        <w:t>education</w:t>
      </w:r>
      <w:r>
        <w:rPr>
          <w:i/>
          <w:spacing w:val="-5"/>
          <w:sz w:val="23"/>
        </w:rPr>
        <w:t> </w:t>
      </w:r>
      <w:r>
        <w:rPr>
          <w:i/>
          <w:sz w:val="23"/>
        </w:rPr>
        <w:t>services</w:t>
      </w:r>
      <w:r>
        <w:rPr>
          <w:i/>
          <w:spacing w:val="-5"/>
          <w:sz w:val="23"/>
        </w:rPr>
        <w:t> </w:t>
      </w:r>
      <w:r>
        <w:rPr>
          <w:i/>
          <w:sz w:val="23"/>
        </w:rPr>
        <w:t>are</w:t>
      </w:r>
      <w:r>
        <w:rPr>
          <w:i/>
          <w:spacing w:val="-4"/>
          <w:sz w:val="23"/>
        </w:rPr>
        <w:t> </w:t>
      </w:r>
      <w:r>
        <w:rPr>
          <w:i/>
          <w:sz w:val="23"/>
        </w:rPr>
        <w:t>provided</w:t>
      </w:r>
      <w:r>
        <w:rPr>
          <w:i/>
          <w:spacing w:val="-5"/>
          <w:sz w:val="23"/>
        </w:rPr>
        <w:t> </w:t>
      </w:r>
      <w:r>
        <w:rPr>
          <w:i/>
          <w:sz w:val="23"/>
        </w:rPr>
        <w:t>in</w:t>
      </w:r>
      <w:r>
        <w:rPr>
          <w:i/>
          <w:spacing w:val="-5"/>
          <w:sz w:val="23"/>
        </w:rPr>
        <w:t> </w:t>
      </w:r>
      <w:r>
        <w:rPr>
          <w:i/>
          <w:sz w:val="23"/>
        </w:rPr>
        <w:t>ECCE settings</w:t>
      </w:r>
      <w:r>
        <w:rPr>
          <w:b/>
          <w:i/>
          <w:sz w:val="23"/>
        </w:rPr>
        <w:t>, Itinerant Early Childhood Special Education (IECSE) </w:t>
      </w:r>
      <w:r>
        <w:rPr>
          <w:i/>
          <w:sz w:val="23"/>
        </w:rPr>
        <w:t>teachers from the</w:t>
      </w:r>
      <w:r>
        <w:rPr>
          <w:i/>
          <w:sz w:val="23"/>
        </w:rPr>
        <w:t> school division travel to the classroom to implement the child’s Individualized Education Program</w:t>
      </w:r>
      <w:r>
        <w:rPr>
          <w:i/>
          <w:spacing w:val="-3"/>
          <w:sz w:val="23"/>
        </w:rPr>
        <w:t> </w:t>
      </w:r>
      <w:r>
        <w:rPr>
          <w:i/>
          <w:sz w:val="23"/>
        </w:rPr>
        <w:t>(IEP).</w:t>
      </w:r>
      <w:r>
        <w:rPr>
          <w:i/>
          <w:spacing w:val="36"/>
          <w:sz w:val="23"/>
        </w:rPr>
        <w:t> </w:t>
      </w:r>
      <w:r>
        <w:rPr>
          <w:i/>
          <w:sz w:val="23"/>
        </w:rPr>
        <w:t>They</w:t>
      </w:r>
      <w:r>
        <w:rPr>
          <w:i/>
          <w:spacing w:val="-4"/>
          <w:sz w:val="23"/>
        </w:rPr>
        <w:t> </w:t>
      </w:r>
      <w:r>
        <w:rPr>
          <w:i/>
          <w:sz w:val="23"/>
        </w:rPr>
        <w:t>partner</w:t>
      </w:r>
      <w:r>
        <w:rPr>
          <w:i/>
          <w:spacing w:val="-2"/>
          <w:sz w:val="23"/>
        </w:rPr>
        <w:t> </w:t>
      </w:r>
      <w:r>
        <w:rPr>
          <w:i/>
          <w:sz w:val="23"/>
        </w:rPr>
        <w:t>with</w:t>
      </w:r>
      <w:r>
        <w:rPr>
          <w:i/>
          <w:spacing w:val="-3"/>
          <w:sz w:val="23"/>
        </w:rPr>
        <w:t> </w:t>
      </w:r>
      <w:r>
        <w:rPr>
          <w:i/>
          <w:sz w:val="23"/>
        </w:rPr>
        <w:t>the</w:t>
      </w:r>
      <w:r>
        <w:rPr>
          <w:i/>
          <w:spacing w:val="-2"/>
          <w:sz w:val="23"/>
        </w:rPr>
        <w:t> </w:t>
      </w:r>
      <w:r>
        <w:rPr>
          <w:i/>
          <w:sz w:val="23"/>
        </w:rPr>
        <w:t>child’s</w:t>
      </w:r>
      <w:r>
        <w:rPr>
          <w:i/>
          <w:spacing w:val="-4"/>
          <w:sz w:val="23"/>
        </w:rPr>
        <w:t> </w:t>
      </w:r>
      <w:r>
        <w:rPr>
          <w:i/>
          <w:sz w:val="23"/>
        </w:rPr>
        <w:t>classroom</w:t>
      </w:r>
      <w:r>
        <w:rPr>
          <w:i/>
          <w:spacing w:val="-4"/>
          <w:sz w:val="23"/>
        </w:rPr>
        <w:t> </w:t>
      </w:r>
      <w:r>
        <w:rPr>
          <w:i/>
          <w:sz w:val="23"/>
        </w:rPr>
        <w:t>teacher</w:t>
      </w:r>
      <w:r>
        <w:rPr>
          <w:i/>
          <w:spacing w:val="-6"/>
          <w:sz w:val="23"/>
        </w:rPr>
        <w:t> </w:t>
      </w:r>
      <w:r>
        <w:rPr>
          <w:i/>
          <w:sz w:val="23"/>
        </w:rPr>
        <w:t>to</w:t>
      </w:r>
      <w:r>
        <w:rPr>
          <w:i/>
          <w:spacing w:val="-8"/>
          <w:sz w:val="23"/>
        </w:rPr>
        <w:t> </w:t>
      </w:r>
      <w:r>
        <w:rPr>
          <w:i/>
          <w:sz w:val="23"/>
        </w:rPr>
        <w:t>support</w:t>
      </w:r>
      <w:r>
        <w:rPr>
          <w:i/>
          <w:spacing w:val="-7"/>
          <w:sz w:val="23"/>
        </w:rPr>
        <w:t> </w:t>
      </w:r>
      <w:r>
        <w:rPr>
          <w:i/>
          <w:sz w:val="23"/>
        </w:rPr>
        <w:t>the</w:t>
      </w:r>
      <w:r>
        <w:rPr>
          <w:i/>
          <w:spacing w:val="-7"/>
          <w:sz w:val="23"/>
        </w:rPr>
        <w:t> </w:t>
      </w:r>
      <w:r>
        <w:rPr>
          <w:i/>
          <w:sz w:val="23"/>
        </w:rPr>
        <w:t>child’s</w:t>
      </w:r>
      <w:r>
        <w:rPr>
          <w:i/>
          <w:spacing w:val="-7"/>
          <w:sz w:val="23"/>
        </w:rPr>
        <w:t> </w:t>
      </w:r>
      <w:r>
        <w:rPr>
          <w:i/>
          <w:sz w:val="23"/>
        </w:rPr>
        <w:t>learning and participation with nondisabled peers.</w:t>
      </w:r>
    </w:p>
    <w:p>
      <w:pPr>
        <w:pStyle w:val="Heading2"/>
        <w:spacing w:before="231"/>
      </w:pPr>
      <w:r>
        <w:rPr>
          <w:color w:val="2C5593"/>
        </w:rPr>
        <w:t>Successful</w:t>
      </w:r>
      <w:r>
        <w:rPr>
          <w:color w:val="2C5593"/>
          <w:spacing w:val="-6"/>
        </w:rPr>
        <w:t> </w:t>
      </w:r>
      <w:r>
        <w:rPr>
          <w:color w:val="2C5593"/>
          <w:spacing w:val="-2"/>
        </w:rPr>
        <w:t>Partnerships</w:t>
      </w:r>
    </w:p>
    <w:p>
      <w:pPr>
        <w:pStyle w:val="BodyText"/>
        <w:spacing w:line="285" w:lineRule="auto" w:before="154"/>
        <w:ind w:left="230" w:right="489" w:firstLine="0"/>
      </w:pPr>
      <w:r>
        <w:rPr/>
        <w:t>The</w:t>
      </w:r>
      <w:r>
        <w:rPr>
          <w:spacing w:val="-3"/>
        </w:rPr>
        <w:t> </w:t>
      </w:r>
      <w:r>
        <w:rPr/>
        <w:t>child’s</w:t>
      </w:r>
      <w:r>
        <w:rPr>
          <w:spacing w:val="-4"/>
        </w:rPr>
        <w:t> </w:t>
      </w:r>
      <w:r>
        <w:rPr/>
        <w:t>IEP</w:t>
      </w:r>
      <w:r>
        <w:rPr>
          <w:spacing w:val="-3"/>
        </w:rPr>
        <w:t> </w:t>
      </w:r>
      <w:r>
        <w:rPr/>
        <w:t>specifies</w:t>
      </w:r>
      <w:r>
        <w:rPr>
          <w:spacing w:val="-3"/>
        </w:rPr>
        <w:t> </w:t>
      </w:r>
      <w:r>
        <w:rPr/>
        <w:t>the</w:t>
      </w:r>
      <w:r>
        <w:rPr>
          <w:spacing w:val="-3"/>
        </w:rPr>
        <w:t> </w:t>
      </w:r>
      <w:r>
        <w:rPr/>
        <w:t>amount</w:t>
      </w:r>
      <w:r>
        <w:rPr>
          <w:spacing w:val="-3"/>
        </w:rPr>
        <w:t> </w:t>
      </w:r>
      <w:r>
        <w:rPr/>
        <w:t>of</w:t>
      </w:r>
      <w:r>
        <w:rPr>
          <w:spacing w:val="-3"/>
        </w:rPr>
        <w:t> </w:t>
      </w:r>
      <w:r>
        <w:rPr/>
        <w:t>time</w:t>
      </w:r>
      <w:r>
        <w:rPr>
          <w:spacing w:val="-3"/>
        </w:rPr>
        <w:t> </w:t>
      </w:r>
      <w:r>
        <w:rPr/>
        <w:t>an</w:t>
      </w:r>
      <w:r>
        <w:rPr>
          <w:spacing w:val="-3"/>
        </w:rPr>
        <w:t> </w:t>
      </w:r>
      <w:r>
        <w:rPr/>
        <w:t>IECSE</w:t>
      </w:r>
      <w:r>
        <w:rPr>
          <w:spacing w:val="-3"/>
        </w:rPr>
        <w:t> </w:t>
      </w:r>
      <w:r>
        <w:rPr/>
        <w:t>teacher</w:t>
      </w:r>
      <w:r>
        <w:rPr>
          <w:spacing w:val="-2"/>
        </w:rPr>
        <w:t> </w:t>
      </w:r>
      <w:r>
        <w:rPr/>
        <w:t>spends</w:t>
      </w:r>
      <w:r>
        <w:rPr>
          <w:spacing w:val="-4"/>
        </w:rPr>
        <w:t> </w:t>
      </w:r>
      <w:r>
        <w:rPr/>
        <w:t>in</w:t>
      </w:r>
      <w:r>
        <w:rPr>
          <w:spacing w:val="-3"/>
        </w:rPr>
        <w:t> </w:t>
      </w:r>
      <w:r>
        <w:rPr/>
        <w:t>the</w:t>
      </w:r>
      <w:r>
        <w:rPr>
          <w:spacing w:val="-3"/>
        </w:rPr>
        <w:t> </w:t>
      </w:r>
      <w:r>
        <w:rPr/>
        <w:t>classroom</w:t>
      </w:r>
      <w:r>
        <w:rPr>
          <w:spacing w:val="-3"/>
        </w:rPr>
        <w:t> </w:t>
      </w:r>
      <w:r>
        <w:rPr/>
        <w:t>and</w:t>
      </w:r>
      <w:r>
        <w:rPr>
          <w:spacing w:val="-3"/>
        </w:rPr>
        <w:t> </w:t>
      </w:r>
      <w:r>
        <w:rPr/>
        <w:t>with the classroom teacher. The teachers collaborate on ways to embed the child’s IEP goals into the typical daily routine and activities. They meet regularly to identify strategies to support the child. When a preschooler receives IECSE services, both IECSE and classroom teachers hold high expectations and intentionally promote participation in learning activities and with peers.</w:t>
      </w:r>
    </w:p>
    <w:p>
      <w:pPr>
        <w:pStyle w:val="Heading2"/>
        <w:spacing w:line="288" w:lineRule="auto" w:before="227"/>
        <w:ind w:left="6247" w:right="1094"/>
      </w:pPr>
      <w:r>
        <w:rPr/>
        <w:drawing>
          <wp:anchor distT="0" distB="0" distL="0" distR="0" allowOverlap="1" layoutInCell="1" locked="0" behindDoc="0" simplePos="0" relativeHeight="15729664">
            <wp:simplePos x="0" y="0"/>
            <wp:positionH relativeFrom="page">
              <wp:posOffset>934085</wp:posOffset>
            </wp:positionH>
            <wp:positionV relativeFrom="paragraph">
              <wp:posOffset>163075</wp:posOffset>
            </wp:positionV>
            <wp:extent cx="3367404" cy="1894126"/>
            <wp:effectExtent l="0" t="0" r="0" b="0"/>
            <wp:wrapNone/>
            <wp:docPr id="3" name="Image 3" descr="A teacher and kids playing with puzzles "/>
            <wp:cNvGraphicFramePr>
              <a:graphicFrameLocks/>
            </wp:cNvGraphicFramePr>
            <a:graphic>
              <a:graphicData uri="http://schemas.openxmlformats.org/drawingml/2006/picture">
                <pic:pic>
                  <pic:nvPicPr>
                    <pic:cNvPr id="3" name="Image 3" descr="A teacher and kids playing with puzzles "/>
                    <pic:cNvPicPr/>
                  </pic:nvPicPr>
                  <pic:blipFill>
                    <a:blip r:embed="rId6" cstate="print"/>
                    <a:stretch>
                      <a:fillRect/>
                    </a:stretch>
                  </pic:blipFill>
                  <pic:spPr>
                    <a:xfrm>
                      <a:off x="0" y="0"/>
                      <a:ext cx="3367404" cy="1894126"/>
                    </a:xfrm>
                    <a:prstGeom prst="rect">
                      <a:avLst/>
                    </a:prstGeom>
                  </pic:spPr>
                </pic:pic>
              </a:graphicData>
            </a:graphic>
          </wp:anchor>
        </w:drawing>
      </w:r>
      <w:r>
        <w:rPr/>
        <mc:AlternateContent>
          <mc:Choice Requires="wps">
            <w:drawing>
              <wp:anchor distT="0" distB="0" distL="0" distR="0" allowOverlap="1" layoutInCell="1" locked="0" behindDoc="0" simplePos="0" relativeHeight="15730176">
                <wp:simplePos x="0" y="0"/>
                <wp:positionH relativeFrom="page">
                  <wp:posOffset>4521200</wp:posOffset>
                </wp:positionH>
                <wp:positionV relativeFrom="paragraph">
                  <wp:posOffset>160195</wp:posOffset>
                </wp:positionV>
                <wp:extent cx="1270" cy="368300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3683000"/>
                        </a:xfrm>
                        <a:custGeom>
                          <a:avLst/>
                          <a:gdLst/>
                          <a:ahLst/>
                          <a:cxnLst/>
                          <a:rect l="l" t="t" r="r" b="b"/>
                          <a:pathLst>
                            <a:path w="0" h="3683000">
                              <a:moveTo>
                                <a:pt x="0" y="3683000"/>
                              </a:moveTo>
                              <a:lnTo>
                                <a:pt x="0" y="0"/>
                              </a:lnTo>
                            </a:path>
                          </a:pathLst>
                        </a:custGeom>
                        <a:ln w="28575">
                          <a:solidFill>
                            <a:srgbClr val="2E5D9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356pt,302.613809pt" to="356pt,12.613809pt" stroked="true" strokeweight="2.25pt" strokecolor="#2e5d9e">
                <v:stroke dashstyle="solid"/>
                <w10:wrap type="none"/>
              </v:line>
            </w:pict>
          </mc:Fallback>
        </mc:AlternateContent>
      </w:r>
      <w:r>
        <w:rPr>
          <w:color w:val="2C5593"/>
        </w:rPr>
        <w:t>Including</w:t>
      </w:r>
      <w:r>
        <w:rPr>
          <w:color w:val="2C5593"/>
          <w:spacing w:val="-20"/>
        </w:rPr>
        <w:t> </w:t>
      </w:r>
      <w:r>
        <w:rPr>
          <w:color w:val="2C5593"/>
        </w:rPr>
        <w:t>preschoolers with developmental delays</w:t>
      </w:r>
      <w:r>
        <w:rPr>
          <w:color w:val="2C5593"/>
          <w:spacing w:val="-12"/>
        </w:rPr>
        <w:t> </w:t>
      </w:r>
      <w:r>
        <w:rPr>
          <w:color w:val="2C5593"/>
        </w:rPr>
        <w:t>or</w:t>
      </w:r>
      <w:r>
        <w:rPr>
          <w:color w:val="2C5593"/>
          <w:spacing w:val="-13"/>
        </w:rPr>
        <w:t> </w:t>
      </w:r>
      <w:r>
        <w:rPr>
          <w:color w:val="2C5593"/>
        </w:rPr>
        <w:t>disabilities</w:t>
      </w:r>
      <w:r>
        <w:rPr>
          <w:color w:val="2C5593"/>
          <w:spacing w:val="-12"/>
        </w:rPr>
        <w:t> </w:t>
      </w:r>
      <w:r>
        <w:rPr>
          <w:color w:val="2C5593"/>
        </w:rPr>
        <w:t>in early childhood </w:t>
      </w:r>
      <w:r>
        <w:rPr>
          <w:color w:val="2C5593"/>
          <w:spacing w:val="-2"/>
        </w:rPr>
        <w:t>classrooms:</w:t>
      </w:r>
    </w:p>
    <w:p>
      <w:pPr>
        <w:pStyle w:val="ListParagraph"/>
        <w:numPr>
          <w:ilvl w:val="0"/>
          <w:numId w:val="1"/>
        </w:numPr>
        <w:tabs>
          <w:tab w:pos="6379" w:val="left" w:leader="none"/>
        </w:tabs>
        <w:spacing w:line="285" w:lineRule="auto" w:before="2" w:after="0"/>
        <w:ind w:left="6379" w:right="938" w:hanging="195"/>
        <w:jc w:val="left"/>
        <w:rPr>
          <w:sz w:val="23"/>
        </w:rPr>
      </w:pPr>
      <w:r>
        <w:rPr>
          <w:color w:val="06080D"/>
          <w:sz w:val="23"/>
        </w:rPr>
        <w:t>Provides</w:t>
      </w:r>
      <w:r>
        <w:rPr>
          <w:color w:val="06080D"/>
          <w:spacing w:val="-14"/>
          <w:sz w:val="23"/>
        </w:rPr>
        <w:t> </w:t>
      </w:r>
      <w:r>
        <w:rPr>
          <w:color w:val="06080D"/>
          <w:sz w:val="23"/>
        </w:rPr>
        <w:t>opportunities</w:t>
      </w:r>
      <w:r>
        <w:rPr>
          <w:color w:val="06080D"/>
          <w:spacing w:val="-14"/>
          <w:sz w:val="23"/>
        </w:rPr>
        <w:t> </w:t>
      </w:r>
      <w:r>
        <w:rPr>
          <w:color w:val="06080D"/>
          <w:sz w:val="23"/>
        </w:rPr>
        <w:t>to</w:t>
      </w:r>
      <w:r>
        <w:rPr>
          <w:color w:val="06080D"/>
          <w:spacing w:val="-14"/>
          <w:sz w:val="23"/>
        </w:rPr>
        <w:t> </w:t>
      </w:r>
      <w:r>
        <w:rPr>
          <w:color w:val="06080D"/>
          <w:sz w:val="23"/>
        </w:rPr>
        <w:t>learn from same-age peers</w:t>
      </w:r>
    </w:p>
    <w:p>
      <w:pPr>
        <w:pStyle w:val="ListParagraph"/>
        <w:numPr>
          <w:ilvl w:val="0"/>
          <w:numId w:val="1"/>
        </w:numPr>
        <w:tabs>
          <w:tab w:pos="6380" w:val="left" w:leader="none"/>
        </w:tabs>
        <w:spacing w:line="285" w:lineRule="auto" w:before="0" w:after="0"/>
        <w:ind w:left="6380" w:right="829" w:hanging="196"/>
        <w:jc w:val="left"/>
        <w:rPr>
          <w:sz w:val="23"/>
        </w:rPr>
      </w:pPr>
      <w:r>
        <w:rPr>
          <w:color w:val="06080D"/>
          <w:sz w:val="23"/>
        </w:rPr>
        <w:t>Offers</w:t>
      </w:r>
      <w:r>
        <w:rPr>
          <w:color w:val="06080D"/>
          <w:spacing w:val="-13"/>
          <w:sz w:val="23"/>
        </w:rPr>
        <w:t> </w:t>
      </w:r>
      <w:r>
        <w:rPr>
          <w:color w:val="06080D"/>
          <w:sz w:val="23"/>
        </w:rPr>
        <w:t>multiple</w:t>
      </w:r>
      <w:r>
        <w:rPr>
          <w:color w:val="06080D"/>
          <w:spacing w:val="-13"/>
          <w:sz w:val="23"/>
        </w:rPr>
        <w:t> </w:t>
      </w:r>
      <w:r>
        <w:rPr>
          <w:color w:val="06080D"/>
          <w:sz w:val="23"/>
        </w:rPr>
        <w:t>opportunities</w:t>
      </w:r>
      <w:r>
        <w:rPr>
          <w:color w:val="06080D"/>
          <w:spacing w:val="-13"/>
          <w:sz w:val="23"/>
        </w:rPr>
        <w:t> </w:t>
      </w:r>
      <w:r>
        <w:rPr>
          <w:color w:val="06080D"/>
          <w:sz w:val="23"/>
        </w:rPr>
        <w:t>to practice skills across the day</w:t>
      </w:r>
    </w:p>
    <w:p>
      <w:pPr>
        <w:pStyle w:val="ListParagraph"/>
        <w:numPr>
          <w:ilvl w:val="0"/>
          <w:numId w:val="1"/>
        </w:numPr>
        <w:tabs>
          <w:tab w:pos="6380" w:val="left" w:leader="none"/>
        </w:tabs>
        <w:spacing w:line="240" w:lineRule="auto" w:before="1" w:after="0"/>
        <w:ind w:left="6380" w:right="0" w:hanging="195"/>
        <w:jc w:val="left"/>
        <w:rPr>
          <w:sz w:val="23"/>
        </w:rPr>
      </w:pPr>
      <w:r>
        <w:rPr>
          <w:color w:val="06080D"/>
          <w:sz w:val="23"/>
        </w:rPr>
        <w:t>Leads</w:t>
      </w:r>
      <w:r>
        <w:rPr>
          <w:color w:val="06080D"/>
          <w:spacing w:val="-5"/>
          <w:sz w:val="23"/>
        </w:rPr>
        <w:t> </w:t>
      </w:r>
      <w:r>
        <w:rPr>
          <w:color w:val="06080D"/>
          <w:sz w:val="23"/>
        </w:rPr>
        <w:t>to</w:t>
      </w:r>
      <w:r>
        <w:rPr>
          <w:color w:val="06080D"/>
          <w:spacing w:val="-3"/>
          <w:sz w:val="23"/>
        </w:rPr>
        <w:t> </w:t>
      </w:r>
      <w:r>
        <w:rPr>
          <w:color w:val="06080D"/>
          <w:sz w:val="23"/>
        </w:rPr>
        <w:t>greater</w:t>
      </w:r>
      <w:r>
        <w:rPr>
          <w:color w:val="06080D"/>
          <w:spacing w:val="-4"/>
          <w:sz w:val="23"/>
        </w:rPr>
        <w:t> </w:t>
      </w:r>
      <w:r>
        <w:rPr>
          <w:color w:val="06080D"/>
          <w:sz w:val="23"/>
        </w:rPr>
        <w:t>cognitive</w:t>
      </w:r>
      <w:r>
        <w:rPr>
          <w:color w:val="06080D"/>
          <w:spacing w:val="-4"/>
          <w:sz w:val="23"/>
        </w:rPr>
        <w:t> </w:t>
      </w:r>
      <w:r>
        <w:rPr>
          <w:color w:val="06080D"/>
          <w:spacing w:val="-5"/>
          <w:sz w:val="23"/>
        </w:rPr>
        <w:t>and</w:t>
      </w:r>
    </w:p>
    <w:p>
      <w:pPr>
        <w:pStyle w:val="ListParagraph"/>
        <w:spacing w:after="0" w:line="240" w:lineRule="auto"/>
        <w:jc w:val="left"/>
        <w:rPr>
          <w:sz w:val="23"/>
        </w:rPr>
        <w:sectPr>
          <w:type w:val="continuous"/>
          <w:pgSz w:w="12240" w:h="15840"/>
          <w:pgMar w:top="1040" w:bottom="280" w:left="1080" w:right="720"/>
        </w:sectPr>
      </w:pPr>
    </w:p>
    <w:p>
      <w:pPr>
        <w:pStyle w:val="Heading2"/>
      </w:pPr>
      <w:r>
        <w:rPr>
          <w:color w:val="2C5593"/>
        </w:rPr>
        <w:t>Role</w:t>
      </w:r>
      <w:r>
        <w:rPr>
          <w:color w:val="2C5593"/>
          <w:spacing w:val="-4"/>
        </w:rPr>
        <w:t> </w:t>
      </w:r>
      <w:r>
        <w:rPr>
          <w:color w:val="2C5593"/>
        </w:rPr>
        <w:t>of</w:t>
      </w:r>
      <w:r>
        <w:rPr>
          <w:color w:val="2C5593"/>
          <w:spacing w:val="-4"/>
        </w:rPr>
        <w:t> </w:t>
      </w:r>
      <w:r>
        <w:rPr>
          <w:color w:val="2C5593"/>
        </w:rPr>
        <w:t>the</w:t>
      </w:r>
      <w:r>
        <w:rPr>
          <w:color w:val="2C5593"/>
          <w:spacing w:val="-4"/>
        </w:rPr>
        <w:t> </w:t>
      </w:r>
      <w:r>
        <w:rPr>
          <w:color w:val="2C5593"/>
        </w:rPr>
        <w:t>Itinerant</w:t>
      </w:r>
      <w:r>
        <w:rPr>
          <w:color w:val="2C5593"/>
          <w:spacing w:val="-4"/>
        </w:rPr>
        <w:t> </w:t>
      </w:r>
      <w:r>
        <w:rPr>
          <w:color w:val="2C5593"/>
        </w:rPr>
        <w:t>IECSE</w:t>
      </w:r>
      <w:r>
        <w:rPr>
          <w:color w:val="2C5593"/>
          <w:spacing w:val="-2"/>
        </w:rPr>
        <w:t> Teacher</w:t>
      </w:r>
    </w:p>
    <w:p>
      <w:pPr>
        <w:pStyle w:val="ListParagraph"/>
        <w:numPr>
          <w:ilvl w:val="0"/>
          <w:numId w:val="2"/>
        </w:numPr>
        <w:tabs>
          <w:tab w:pos="590" w:val="left" w:leader="none"/>
        </w:tabs>
        <w:spacing w:line="240" w:lineRule="auto" w:before="295" w:after="0"/>
        <w:ind w:left="590" w:right="441" w:hanging="360"/>
        <w:jc w:val="left"/>
        <w:rPr>
          <w:sz w:val="23"/>
        </w:rPr>
      </w:pPr>
      <w:r>
        <w:rPr>
          <w:sz w:val="23"/>
        </w:rPr>
        <w:t>Model</w:t>
      </w:r>
      <w:r>
        <w:rPr>
          <w:spacing w:val="-9"/>
          <w:sz w:val="23"/>
        </w:rPr>
        <w:t> </w:t>
      </w:r>
      <w:r>
        <w:rPr>
          <w:sz w:val="23"/>
        </w:rPr>
        <w:t>effective</w:t>
      </w:r>
      <w:r>
        <w:rPr>
          <w:spacing w:val="-8"/>
          <w:sz w:val="23"/>
        </w:rPr>
        <w:t> </w:t>
      </w:r>
      <w:r>
        <w:rPr>
          <w:sz w:val="23"/>
        </w:rPr>
        <w:t>instructional</w:t>
      </w:r>
      <w:r>
        <w:rPr>
          <w:spacing w:val="-8"/>
          <w:sz w:val="23"/>
        </w:rPr>
        <w:t> </w:t>
      </w:r>
      <w:r>
        <w:rPr>
          <w:sz w:val="23"/>
        </w:rPr>
        <w:t>practices</w:t>
      </w:r>
      <w:r>
        <w:rPr>
          <w:spacing w:val="-8"/>
          <w:sz w:val="23"/>
        </w:rPr>
        <w:t> </w:t>
      </w:r>
      <w:r>
        <w:rPr>
          <w:sz w:val="23"/>
        </w:rPr>
        <w:t>for</w:t>
      </w:r>
      <w:r>
        <w:rPr>
          <w:spacing w:val="-7"/>
          <w:sz w:val="23"/>
        </w:rPr>
        <w:t> </w:t>
      </w:r>
      <w:r>
        <w:rPr>
          <w:sz w:val="23"/>
        </w:rPr>
        <w:t>the classroom teacher</w:t>
      </w:r>
    </w:p>
    <w:p>
      <w:pPr>
        <w:pStyle w:val="ListParagraph"/>
        <w:numPr>
          <w:ilvl w:val="0"/>
          <w:numId w:val="2"/>
        </w:numPr>
        <w:tabs>
          <w:tab w:pos="590" w:val="left" w:leader="none"/>
        </w:tabs>
        <w:spacing w:line="281" w:lineRule="exact" w:before="0" w:after="0"/>
        <w:ind w:left="590" w:right="0" w:hanging="360"/>
        <w:jc w:val="left"/>
        <w:rPr>
          <w:sz w:val="23"/>
        </w:rPr>
      </w:pPr>
      <w:r>
        <w:rPr>
          <w:sz w:val="23"/>
        </w:rPr>
        <w:t>Provide</w:t>
      </w:r>
      <w:r>
        <w:rPr>
          <w:spacing w:val="-5"/>
          <w:sz w:val="23"/>
        </w:rPr>
        <w:t> </w:t>
      </w:r>
      <w:r>
        <w:rPr>
          <w:sz w:val="23"/>
        </w:rPr>
        <w:t>direct</w:t>
      </w:r>
      <w:r>
        <w:rPr>
          <w:spacing w:val="-5"/>
          <w:sz w:val="23"/>
        </w:rPr>
        <w:t> </w:t>
      </w:r>
      <w:r>
        <w:rPr>
          <w:spacing w:val="-2"/>
          <w:sz w:val="23"/>
        </w:rPr>
        <w:t>instruction</w:t>
      </w:r>
    </w:p>
    <w:p>
      <w:pPr>
        <w:pStyle w:val="ListParagraph"/>
        <w:numPr>
          <w:ilvl w:val="0"/>
          <w:numId w:val="2"/>
        </w:numPr>
        <w:tabs>
          <w:tab w:pos="589" w:val="left" w:leader="none"/>
        </w:tabs>
        <w:spacing w:line="281" w:lineRule="exact" w:before="0" w:after="0"/>
        <w:ind w:left="589" w:right="0" w:hanging="359"/>
        <w:jc w:val="left"/>
        <w:rPr>
          <w:sz w:val="23"/>
        </w:rPr>
      </w:pPr>
      <w:r>
        <w:rPr>
          <w:sz w:val="23"/>
        </w:rPr>
        <w:t>Assist</w:t>
      </w:r>
      <w:r>
        <w:rPr>
          <w:spacing w:val="-4"/>
          <w:sz w:val="23"/>
        </w:rPr>
        <w:t> </w:t>
      </w:r>
      <w:r>
        <w:rPr>
          <w:sz w:val="23"/>
        </w:rPr>
        <w:t>in</w:t>
      </w:r>
      <w:r>
        <w:rPr>
          <w:spacing w:val="-4"/>
          <w:sz w:val="23"/>
        </w:rPr>
        <w:t> </w:t>
      </w:r>
      <w:r>
        <w:rPr>
          <w:sz w:val="23"/>
        </w:rPr>
        <w:t>monitoring</w:t>
      </w:r>
      <w:r>
        <w:rPr>
          <w:spacing w:val="-4"/>
          <w:sz w:val="23"/>
        </w:rPr>
        <w:t> </w:t>
      </w:r>
      <w:r>
        <w:rPr>
          <w:sz w:val="23"/>
        </w:rPr>
        <w:t>child</w:t>
      </w:r>
      <w:r>
        <w:rPr>
          <w:spacing w:val="-3"/>
          <w:sz w:val="23"/>
        </w:rPr>
        <w:t> </w:t>
      </w:r>
      <w:r>
        <w:rPr>
          <w:spacing w:val="-2"/>
          <w:sz w:val="23"/>
        </w:rPr>
        <w:t>progress</w:t>
      </w:r>
    </w:p>
    <w:p>
      <w:pPr>
        <w:pStyle w:val="ListParagraph"/>
        <w:numPr>
          <w:ilvl w:val="0"/>
          <w:numId w:val="2"/>
        </w:numPr>
        <w:tabs>
          <w:tab w:pos="590" w:val="left" w:leader="none"/>
        </w:tabs>
        <w:spacing w:line="240" w:lineRule="auto" w:before="1" w:after="0"/>
        <w:ind w:left="590" w:right="38" w:hanging="360"/>
        <w:jc w:val="left"/>
        <w:rPr>
          <w:sz w:val="23"/>
        </w:rPr>
      </w:pPr>
      <w:r>
        <w:rPr>
          <w:sz w:val="23"/>
        </w:rPr>
        <w:t>Communicate</w:t>
      </w:r>
      <w:r>
        <w:rPr>
          <w:spacing w:val="-7"/>
          <w:sz w:val="23"/>
        </w:rPr>
        <w:t> </w:t>
      </w:r>
      <w:r>
        <w:rPr>
          <w:sz w:val="23"/>
        </w:rPr>
        <w:t>with</w:t>
      </w:r>
      <w:r>
        <w:rPr>
          <w:spacing w:val="-6"/>
          <w:sz w:val="23"/>
        </w:rPr>
        <w:t> </w:t>
      </w:r>
      <w:r>
        <w:rPr>
          <w:sz w:val="23"/>
        </w:rPr>
        <w:t>families</w:t>
      </w:r>
      <w:r>
        <w:rPr>
          <w:spacing w:val="-7"/>
          <w:sz w:val="23"/>
        </w:rPr>
        <w:t> </w:t>
      </w:r>
      <w:r>
        <w:rPr>
          <w:sz w:val="23"/>
        </w:rPr>
        <w:t>and</w:t>
      </w:r>
      <w:r>
        <w:rPr>
          <w:spacing w:val="-7"/>
          <w:sz w:val="23"/>
        </w:rPr>
        <w:t> </w:t>
      </w:r>
      <w:r>
        <w:rPr>
          <w:sz w:val="23"/>
        </w:rPr>
        <w:t>any</w:t>
      </w:r>
      <w:r>
        <w:rPr>
          <w:spacing w:val="-6"/>
          <w:sz w:val="23"/>
        </w:rPr>
        <w:t> </w:t>
      </w:r>
      <w:r>
        <w:rPr>
          <w:sz w:val="23"/>
        </w:rPr>
        <w:t>other</w:t>
      </w:r>
      <w:r>
        <w:rPr>
          <w:spacing w:val="-6"/>
          <w:sz w:val="23"/>
        </w:rPr>
        <w:t> </w:t>
      </w:r>
      <w:r>
        <w:rPr>
          <w:sz w:val="23"/>
        </w:rPr>
        <w:t>service providers such as speech therapists</w:t>
      </w:r>
    </w:p>
    <w:p>
      <w:pPr>
        <w:pStyle w:val="BodyText"/>
        <w:spacing w:line="285" w:lineRule="auto" w:before="49"/>
        <w:ind w:left="227" w:right="976" w:firstLine="0"/>
      </w:pPr>
      <w:r>
        <w:rPr/>
        <w:br w:type="column"/>
      </w:r>
      <w:r>
        <w:rPr>
          <w:color w:val="06080D"/>
        </w:rPr>
        <w:t>communication</w:t>
      </w:r>
      <w:r>
        <w:rPr>
          <w:color w:val="06080D"/>
          <w:spacing w:val="-17"/>
        </w:rPr>
        <w:t> </w:t>
      </w:r>
      <w:r>
        <w:rPr>
          <w:color w:val="06080D"/>
        </w:rPr>
        <w:t>development than</w:t>
      </w:r>
      <w:r>
        <w:rPr>
          <w:color w:val="06080D"/>
          <w:spacing w:val="-12"/>
        </w:rPr>
        <w:t> </w:t>
      </w:r>
      <w:r>
        <w:rPr>
          <w:color w:val="06080D"/>
        </w:rPr>
        <w:t>services</w:t>
      </w:r>
      <w:r>
        <w:rPr>
          <w:color w:val="06080D"/>
          <w:spacing w:val="-12"/>
        </w:rPr>
        <w:t> </w:t>
      </w:r>
      <w:r>
        <w:rPr>
          <w:color w:val="06080D"/>
        </w:rPr>
        <w:t>in</w:t>
      </w:r>
      <w:r>
        <w:rPr>
          <w:color w:val="06080D"/>
          <w:spacing w:val="-12"/>
        </w:rPr>
        <w:t> </w:t>
      </w:r>
      <w:r>
        <w:rPr>
          <w:color w:val="06080D"/>
        </w:rPr>
        <w:t>self-contained special education classrooms</w:t>
      </w:r>
    </w:p>
    <w:p>
      <w:pPr>
        <w:pStyle w:val="ListParagraph"/>
        <w:numPr>
          <w:ilvl w:val="0"/>
          <w:numId w:val="3"/>
        </w:numPr>
        <w:tabs>
          <w:tab w:pos="226" w:val="left" w:leader="none"/>
        </w:tabs>
        <w:spacing w:line="285" w:lineRule="auto" w:before="2" w:after="0"/>
        <w:ind w:left="226" w:right="704" w:hanging="195"/>
        <w:jc w:val="left"/>
        <w:rPr>
          <w:sz w:val="23"/>
        </w:rPr>
      </w:pPr>
      <w:r>
        <w:rPr>
          <w:color w:val="06080D"/>
          <w:sz w:val="23"/>
        </w:rPr>
        <w:t>Results</w:t>
      </w:r>
      <w:r>
        <w:rPr>
          <w:color w:val="06080D"/>
          <w:spacing w:val="-8"/>
          <w:sz w:val="23"/>
        </w:rPr>
        <w:t> </w:t>
      </w:r>
      <w:r>
        <w:rPr>
          <w:color w:val="06080D"/>
          <w:sz w:val="23"/>
        </w:rPr>
        <w:t>in</w:t>
      </w:r>
      <w:r>
        <w:rPr>
          <w:color w:val="06080D"/>
          <w:spacing w:val="-8"/>
          <w:sz w:val="23"/>
        </w:rPr>
        <w:t> </w:t>
      </w:r>
      <w:r>
        <w:rPr>
          <w:color w:val="06080D"/>
          <w:sz w:val="23"/>
        </w:rPr>
        <w:t>children</w:t>
      </w:r>
      <w:r>
        <w:rPr>
          <w:color w:val="06080D"/>
          <w:spacing w:val="-8"/>
          <w:sz w:val="23"/>
        </w:rPr>
        <w:t> </w:t>
      </w:r>
      <w:r>
        <w:rPr>
          <w:color w:val="06080D"/>
          <w:sz w:val="23"/>
        </w:rPr>
        <w:t>who</w:t>
      </w:r>
      <w:r>
        <w:rPr>
          <w:color w:val="06080D"/>
          <w:spacing w:val="-8"/>
          <w:sz w:val="23"/>
        </w:rPr>
        <w:t> </w:t>
      </w:r>
      <w:r>
        <w:rPr>
          <w:color w:val="06080D"/>
          <w:sz w:val="23"/>
        </w:rPr>
        <w:t>are</w:t>
      </w:r>
      <w:r>
        <w:rPr>
          <w:color w:val="06080D"/>
          <w:spacing w:val="-8"/>
          <w:sz w:val="23"/>
        </w:rPr>
        <w:t> </w:t>
      </w:r>
      <w:r>
        <w:rPr>
          <w:color w:val="06080D"/>
          <w:sz w:val="23"/>
        </w:rPr>
        <w:t>more socially competent and have more friends than in self-contained classrooms</w:t>
      </w:r>
    </w:p>
    <w:p>
      <w:pPr>
        <w:pStyle w:val="ListParagraph"/>
        <w:numPr>
          <w:ilvl w:val="0"/>
          <w:numId w:val="3"/>
        </w:numPr>
        <w:tabs>
          <w:tab w:pos="226" w:val="left" w:leader="none"/>
        </w:tabs>
        <w:spacing w:line="285" w:lineRule="auto" w:before="0" w:after="0"/>
        <w:ind w:left="226" w:right="965" w:hanging="195"/>
        <w:jc w:val="left"/>
        <w:rPr>
          <w:sz w:val="23"/>
        </w:rPr>
      </w:pPr>
      <w:r>
        <w:rPr>
          <w:color w:val="06080D"/>
          <w:spacing w:val="-2"/>
          <w:sz w:val="23"/>
        </w:rPr>
        <w:t>Minimizes</w:t>
      </w:r>
      <w:r>
        <w:rPr>
          <w:color w:val="06080D"/>
          <w:spacing w:val="-6"/>
          <w:sz w:val="23"/>
        </w:rPr>
        <w:t> </w:t>
      </w:r>
      <w:r>
        <w:rPr>
          <w:color w:val="06080D"/>
          <w:spacing w:val="-2"/>
          <w:sz w:val="23"/>
        </w:rPr>
        <w:t>transitions</w:t>
      </w:r>
      <w:r>
        <w:rPr>
          <w:color w:val="06080D"/>
          <w:spacing w:val="-7"/>
          <w:sz w:val="23"/>
        </w:rPr>
        <w:t> </w:t>
      </w:r>
      <w:r>
        <w:rPr>
          <w:color w:val="06080D"/>
          <w:spacing w:val="-2"/>
          <w:sz w:val="23"/>
        </w:rPr>
        <w:t>between programs</w:t>
      </w:r>
    </w:p>
    <w:sectPr>
      <w:type w:val="continuous"/>
      <w:pgSz w:w="12240" w:h="15840"/>
      <w:pgMar w:top="1040" w:bottom="280" w:left="1080" w:right="720"/>
      <w:cols w:num="2" w:equalWidth="0">
        <w:col w:w="5634" w:space="518"/>
        <w:col w:w="428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4.500000pt;height:4.500000pt" o:bullet="t">
        <v:imagedata r:id="rId1" o:title="image3.png"/>
      </v:shape>
    </w:pict>
  </w:numPicBullet>
  <w:numPicBullet w:numPicBulletId="1">
    <w:pict>
      <v:shape id="_x0000_i1076" type="#_x0000_t75" style="width:4.500000pt;height:4.500000pt" o:bullet="t">
        <v:imagedata r:id="rId1" o:title="image3.png"/>
      </v:shape>
    </w:pict>
  </w:numPicBullet>
  <w:abstractNum w:abstractNumId="2">
    <w:multiLevelType w:val="hybridMultilevel"/>
    <w:lvl w:ilvl="0">
      <w:start w:val="0"/>
      <w:numFmt w:val="bullet"/>
      <w:lvlText w:val="&amp;"/>
      <w:lvlPicBulletId w:val="1"/>
      <w:lvlJc w:val="left"/>
      <w:pPr>
        <w:ind w:left="226" w:hanging="195"/>
      </w:pPr>
      <w:rPr>
        <w:rFonts w:hint="default" w:ascii="Times New Roman" w:hAnsi="Times New Roman" w:eastAsia="Times New Roman" w:cs="Times New Roman"/>
        <w:b w:val="0"/>
        <w:bCs w:val="0"/>
        <w:i w:val="0"/>
        <w:iCs w:val="0"/>
        <w:w w:val="100"/>
        <w:position w:val="2"/>
        <w:sz w:val="9"/>
        <w:szCs w:val="9"/>
        <w:lang w:val="en-US" w:eastAsia="en-US" w:bidi="ar-SA"/>
      </w:rPr>
    </w:lvl>
    <w:lvl w:ilvl="1">
      <w:start w:val="0"/>
      <w:numFmt w:val="bullet"/>
      <w:lvlText w:val="•"/>
      <w:lvlJc w:val="left"/>
      <w:pPr>
        <w:ind w:left="626" w:hanging="195"/>
      </w:pPr>
      <w:rPr>
        <w:rFonts w:hint="default"/>
        <w:lang w:val="en-US" w:eastAsia="en-US" w:bidi="ar-SA"/>
      </w:rPr>
    </w:lvl>
    <w:lvl w:ilvl="2">
      <w:start w:val="0"/>
      <w:numFmt w:val="bullet"/>
      <w:lvlText w:val="•"/>
      <w:lvlJc w:val="left"/>
      <w:pPr>
        <w:ind w:left="1033" w:hanging="195"/>
      </w:pPr>
      <w:rPr>
        <w:rFonts w:hint="default"/>
        <w:lang w:val="en-US" w:eastAsia="en-US" w:bidi="ar-SA"/>
      </w:rPr>
    </w:lvl>
    <w:lvl w:ilvl="3">
      <w:start w:val="0"/>
      <w:numFmt w:val="bullet"/>
      <w:lvlText w:val="•"/>
      <w:lvlJc w:val="left"/>
      <w:pPr>
        <w:ind w:left="1440" w:hanging="195"/>
      </w:pPr>
      <w:rPr>
        <w:rFonts w:hint="default"/>
        <w:lang w:val="en-US" w:eastAsia="en-US" w:bidi="ar-SA"/>
      </w:rPr>
    </w:lvl>
    <w:lvl w:ilvl="4">
      <w:start w:val="0"/>
      <w:numFmt w:val="bullet"/>
      <w:lvlText w:val="•"/>
      <w:lvlJc w:val="left"/>
      <w:pPr>
        <w:ind w:left="1847" w:hanging="195"/>
      </w:pPr>
      <w:rPr>
        <w:rFonts w:hint="default"/>
        <w:lang w:val="en-US" w:eastAsia="en-US" w:bidi="ar-SA"/>
      </w:rPr>
    </w:lvl>
    <w:lvl w:ilvl="5">
      <w:start w:val="0"/>
      <w:numFmt w:val="bullet"/>
      <w:lvlText w:val="•"/>
      <w:lvlJc w:val="left"/>
      <w:pPr>
        <w:ind w:left="2253" w:hanging="195"/>
      </w:pPr>
      <w:rPr>
        <w:rFonts w:hint="default"/>
        <w:lang w:val="en-US" w:eastAsia="en-US" w:bidi="ar-SA"/>
      </w:rPr>
    </w:lvl>
    <w:lvl w:ilvl="6">
      <w:start w:val="0"/>
      <w:numFmt w:val="bullet"/>
      <w:lvlText w:val="•"/>
      <w:lvlJc w:val="left"/>
      <w:pPr>
        <w:ind w:left="2660" w:hanging="195"/>
      </w:pPr>
      <w:rPr>
        <w:rFonts w:hint="default"/>
        <w:lang w:val="en-US" w:eastAsia="en-US" w:bidi="ar-SA"/>
      </w:rPr>
    </w:lvl>
    <w:lvl w:ilvl="7">
      <w:start w:val="0"/>
      <w:numFmt w:val="bullet"/>
      <w:lvlText w:val="•"/>
      <w:lvlJc w:val="left"/>
      <w:pPr>
        <w:ind w:left="3067" w:hanging="195"/>
      </w:pPr>
      <w:rPr>
        <w:rFonts w:hint="default"/>
        <w:lang w:val="en-US" w:eastAsia="en-US" w:bidi="ar-SA"/>
      </w:rPr>
    </w:lvl>
    <w:lvl w:ilvl="8">
      <w:start w:val="0"/>
      <w:numFmt w:val="bullet"/>
      <w:lvlText w:val="•"/>
      <w:lvlJc w:val="left"/>
      <w:pPr>
        <w:ind w:left="3474" w:hanging="195"/>
      </w:pPr>
      <w:rPr>
        <w:rFonts w:hint="default"/>
        <w:lang w:val="en-US" w:eastAsia="en-US" w:bidi="ar-SA"/>
      </w:rPr>
    </w:lvl>
  </w:abstractNum>
  <w:abstractNum w:abstractNumId="1">
    <w:multiLevelType w:val="hybridMultilevel"/>
    <w:lvl w:ilvl="0">
      <w:start w:val="0"/>
      <w:numFmt w:val="bullet"/>
      <w:lvlText w:val=""/>
      <w:lvlJc w:val="left"/>
      <w:pPr>
        <w:ind w:left="590" w:hanging="360"/>
      </w:pPr>
      <w:rPr>
        <w:rFonts w:hint="default" w:ascii="Symbol" w:hAnsi="Symbol" w:eastAsia="Symbol" w:cs="Symbol"/>
        <w:b w:val="0"/>
        <w:bCs w:val="0"/>
        <w:i w:val="0"/>
        <w:iCs w:val="0"/>
        <w:spacing w:val="0"/>
        <w:w w:val="100"/>
        <w:sz w:val="23"/>
        <w:szCs w:val="23"/>
        <w:lang w:val="en-US" w:eastAsia="en-US" w:bidi="ar-SA"/>
      </w:rPr>
    </w:lvl>
    <w:lvl w:ilvl="1">
      <w:start w:val="0"/>
      <w:numFmt w:val="bullet"/>
      <w:lvlText w:val="•"/>
      <w:lvlJc w:val="left"/>
      <w:pPr>
        <w:ind w:left="1103" w:hanging="360"/>
      </w:pPr>
      <w:rPr>
        <w:rFonts w:hint="default"/>
        <w:lang w:val="en-US" w:eastAsia="en-US" w:bidi="ar-SA"/>
      </w:rPr>
    </w:lvl>
    <w:lvl w:ilvl="2">
      <w:start w:val="0"/>
      <w:numFmt w:val="bullet"/>
      <w:lvlText w:val="•"/>
      <w:lvlJc w:val="left"/>
      <w:pPr>
        <w:ind w:left="1606" w:hanging="360"/>
      </w:pPr>
      <w:rPr>
        <w:rFonts w:hint="default"/>
        <w:lang w:val="en-US" w:eastAsia="en-US" w:bidi="ar-SA"/>
      </w:rPr>
    </w:lvl>
    <w:lvl w:ilvl="3">
      <w:start w:val="0"/>
      <w:numFmt w:val="bullet"/>
      <w:lvlText w:val="•"/>
      <w:lvlJc w:val="left"/>
      <w:pPr>
        <w:ind w:left="2110" w:hanging="360"/>
      </w:pPr>
      <w:rPr>
        <w:rFonts w:hint="default"/>
        <w:lang w:val="en-US" w:eastAsia="en-US" w:bidi="ar-SA"/>
      </w:rPr>
    </w:lvl>
    <w:lvl w:ilvl="4">
      <w:start w:val="0"/>
      <w:numFmt w:val="bullet"/>
      <w:lvlText w:val="•"/>
      <w:lvlJc w:val="left"/>
      <w:pPr>
        <w:ind w:left="2613" w:hanging="360"/>
      </w:pPr>
      <w:rPr>
        <w:rFonts w:hint="default"/>
        <w:lang w:val="en-US" w:eastAsia="en-US" w:bidi="ar-SA"/>
      </w:rPr>
    </w:lvl>
    <w:lvl w:ilvl="5">
      <w:start w:val="0"/>
      <w:numFmt w:val="bullet"/>
      <w:lvlText w:val="•"/>
      <w:lvlJc w:val="left"/>
      <w:pPr>
        <w:ind w:left="3116" w:hanging="360"/>
      </w:pPr>
      <w:rPr>
        <w:rFonts w:hint="default"/>
        <w:lang w:val="en-US" w:eastAsia="en-US" w:bidi="ar-SA"/>
      </w:rPr>
    </w:lvl>
    <w:lvl w:ilvl="6">
      <w:start w:val="0"/>
      <w:numFmt w:val="bullet"/>
      <w:lvlText w:val="•"/>
      <w:lvlJc w:val="left"/>
      <w:pPr>
        <w:ind w:left="3620" w:hanging="360"/>
      </w:pPr>
      <w:rPr>
        <w:rFonts w:hint="default"/>
        <w:lang w:val="en-US" w:eastAsia="en-US" w:bidi="ar-SA"/>
      </w:rPr>
    </w:lvl>
    <w:lvl w:ilvl="7">
      <w:start w:val="0"/>
      <w:numFmt w:val="bullet"/>
      <w:lvlText w:val="•"/>
      <w:lvlJc w:val="left"/>
      <w:pPr>
        <w:ind w:left="4123" w:hanging="360"/>
      </w:pPr>
      <w:rPr>
        <w:rFonts w:hint="default"/>
        <w:lang w:val="en-US" w:eastAsia="en-US" w:bidi="ar-SA"/>
      </w:rPr>
    </w:lvl>
    <w:lvl w:ilvl="8">
      <w:start w:val="0"/>
      <w:numFmt w:val="bullet"/>
      <w:lvlText w:val="•"/>
      <w:lvlJc w:val="left"/>
      <w:pPr>
        <w:ind w:left="4626" w:hanging="360"/>
      </w:pPr>
      <w:rPr>
        <w:rFonts w:hint="default"/>
        <w:lang w:val="en-US" w:eastAsia="en-US" w:bidi="ar-SA"/>
      </w:rPr>
    </w:lvl>
  </w:abstractNum>
  <w:abstractNum w:abstractNumId="0">
    <w:multiLevelType w:val="hybridMultilevel"/>
    <w:lvl w:ilvl="0">
      <w:start w:val="0"/>
      <w:numFmt w:val="bullet"/>
      <w:lvlText w:val="&amp;"/>
      <w:lvlPicBulletId w:val="0"/>
      <w:lvlJc w:val="left"/>
      <w:pPr>
        <w:ind w:left="6379" w:hanging="195"/>
      </w:pPr>
      <w:rPr>
        <w:rFonts w:hint="default" w:ascii="Times New Roman" w:hAnsi="Times New Roman" w:eastAsia="Times New Roman" w:cs="Times New Roman"/>
        <w:b w:val="0"/>
        <w:bCs w:val="0"/>
        <w:i w:val="0"/>
        <w:iCs w:val="0"/>
        <w:w w:val="100"/>
        <w:position w:val="2"/>
        <w:sz w:val="9"/>
        <w:szCs w:val="9"/>
        <w:lang w:val="en-US" w:eastAsia="en-US" w:bidi="ar-SA"/>
      </w:rPr>
    </w:lvl>
    <w:lvl w:ilvl="1">
      <w:start w:val="0"/>
      <w:numFmt w:val="bullet"/>
      <w:lvlText w:val="•"/>
      <w:lvlJc w:val="left"/>
      <w:pPr>
        <w:ind w:left="6786" w:hanging="195"/>
      </w:pPr>
      <w:rPr>
        <w:rFonts w:hint="default"/>
        <w:lang w:val="en-US" w:eastAsia="en-US" w:bidi="ar-SA"/>
      </w:rPr>
    </w:lvl>
    <w:lvl w:ilvl="2">
      <w:start w:val="0"/>
      <w:numFmt w:val="bullet"/>
      <w:lvlText w:val="•"/>
      <w:lvlJc w:val="left"/>
      <w:pPr>
        <w:ind w:left="7192" w:hanging="195"/>
      </w:pPr>
      <w:rPr>
        <w:rFonts w:hint="default"/>
        <w:lang w:val="en-US" w:eastAsia="en-US" w:bidi="ar-SA"/>
      </w:rPr>
    </w:lvl>
    <w:lvl w:ilvl="3">
      <w:start w:val="0"/>
      <w:numFmt w:val="bullet"/>
      <w:lvlText w:val="•"/>
      <w:lvlJc w:val="left"/>
      <w:pPr>
        <w:ind w:left="7598" w:hanging="195"/>
      </w:pPr>
      <w:rPr>
        <w:rFonts w:hint="default"/>
        <w:lang w:val="en-US" w:eastAsia="en-US" w:bidi="ar-SA"/>
      </w:rPr>
    </w:lvl>
    <w:lvl w:ilvl="4">
      <w:start w:val="0"/>
      <w:numFmt w:val="bullet"/>
      <w:lvlText w:val="•"/>
      <w:lvlJc w:val="left"/>
      <w:pPr>
        <w:ind w:left="8004" w:hanging="195"/>
      </w:pPr>
      <w:rPr>
        <w:rFonts w:hint="default"/>
        <w:lang w:val="en-US" w:eastAsia="en-US" w:bidi="ar-SA"/>
      </w:rPr>
    </w:lvl>
    <w:lvl w:ilvl="5">
      <w:start w:val="0"/>
      <w:numFmt w:val="bullet"/>
      <w:lvlText w:val="•"/>
      <w:lvlJc w:val="left"/>
      <w:pPr>
        <w:ind w:left="8410" w:hanging="195"/>
      </w:pPr>
      <w:rPr>
        <w:rFonts w:hint="default"/>
        <w:lang w:val="en-US" w:eastAsia="en-US" w:bidi="ar-SA"/>
      </w:rPr>
    </w:lvl>
    <w:lvl w:ilvl="6">
      <w:start w:val="0"/>
      <w:numFmt w:val="bullet"/>
      <w:lvlText w:val="•"/>
      <w:lvlJc w:val="left"/>
      <w:pPr>
        <w:ind w:left="8816" w:hanging="195"/>
      </w:pPr>
      <w:rPr>
        <w:rFonts w:hint="default"/>
        <w:lang w:val="en-US" w:eastAsia="en-US" w:bidi="ar-SA"/>
      </w:rPr>
    </w:lvl>
    <w:lvl w:ilvl="7">
      <w:start w:val="0"/>
      <w:numFmt w:val="bullet"/>
      <w:lvlText w:val="•"/>
      <w:lvlJc w:val="left"/>
      <w:pPr>
        <w:ind w:left="9222" w:hanging="195"/>
      </w:pPr>
      <w:rPr>
        <w:rFonts w:hint="default"/>
        <w:lang w:val="en-US" w:eastAsia="en-US" w:bidi="ar-SA"/>
      </w:rPr>
    </w:lvl>
    <w:lvl w:ilvl="8">
      <w:start w:val="0"/>
      <w:numFmt w:val="bullet"/>
      <w:lvlText w:val="•"/>
      <w:lvlJc w:val="left"/>
      <w:pPr>
        <w:ind w:left="9628" w:hanging="195"/>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n-US" w:eastAsia="en-US" w:bidi="ar-SA"/>
    </w:rPr>
  </w:style>
  <w:style w:styleId="BodyText" w:type="paragraph">
    <w:name w:val="Body Text"/>
    <w:basedOn w:val="Normal"/>
    <w:uiPriority w:val="1"/>
    <w:qFormat/>
    <w:pPr>
      <w:ind w:left="590" w:hanging="195"/>
    </w:pPr>
    <w:rPr>
      <w:rFonts w:ascii="Georgia" w:hAnsi="Georgia" w:eastAsia="Georgia" w:cs="Georgia"/>
      <w:sz w:val="23"/>
      <w:szCs w:val="23"/>
      <w:lang w:val="en-US" w:eastAsia="en-US" w:bidi="ar-SA"/>
    </w:rPr>
  </w:style>
  <w:style w:styleId="Heading1" w:type="paragraph">
    <w:name w:val="Heading 1"/>
    <w:basedOn w:val="Normal"/>
    <w:uiPriority w:val="1"/>
    <w:qFormat/>
    <w:pPr>
      <w:spacing w:before="115"/>
      <w:ind w:left="99" w:right="1528"/>
      <w:outlineLvl w:val="1"/>
    </w:pPr>
    <w:rPr>
      <w:rFonts w:ascii="Georgia" w:hAnsi="Georgia" w:eastAsia="Georgia" w:cs="Georgia"/>
      <w:b/>
      <w:bCs/>
      <w:sz w:val="52"/>
      <w:szCs w:val="52"/>
      <w:lang w:val="en-US" w:eastAsia="en-US" w:bidi="ar-SA"/>
    </w:rPr>
  </w:style>
  <w:style w:styleId="Heading2" w:type="paragraph">
    <w:name w:val="Heading 2"/>
    <w:basedOn w:val="Normal"/>
    <w:uiPriority w:val="1"/>
    <w:qFormat/>
    <w:pPr>
      <w:spacing w:before="31"/>
      <w:ind w:left="226"/>
      <w:outlineLvl w:val="2"/>
    </w:pPr>
    <w:rPr>
      <w:rFonts w:ascii="Georgia" w:hAnsi="Georgia" w:eastAsia="Georgia" w:cs="Georgia"/>
      <w:b/>
      <w:bCs/>
      <w:sz w:val="26"/>
      <w:szCs w:val="26"/>
      <w:lang w:val="en-US" w:eastAsia="en-US" w:bidi="ar-SA"/>
    </w:rPr>
  </w:style>
  <w:style w:styleId="ListParagraph" w:type="paragraph">
    <w:name w:val="List Paragraph"/>
    <w:basedOn w:val="Normal"/>
    <w:uiPriority w:val="1"/>
    <w:qFormat/>
    <w:pPr>
      <w:ind w:left="590" w:hanging="195"/>
    </w:pPr>
    <w:rPr>
      <w:rFonts w:ascii="Georgia" w:hAnsi="Georgia" w:eastAsia="Georgia" w:cs="Georgi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Virginia Commonwealth University</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Jaye Wellons</dc:creator>
  <dc:description/>
  <dc:title>IECSE Family Flyer</dc:title>
  <dcterms:created xsi:type="dcterms:W3CDTF">2026-10-07T21:38:10Z</dcterms:created>
  <dcterms:modified xsi:type="dcterms:W3CDTF">2026-10-07T21:38:10Z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2024-01-10T00:00:00Z</vt:filetime>
  </property>
  <property fmtid="{D5CDD505-2E9C-101B-9397-08002B2CF9AE}" pid="3" name="Creator">
    <vt:lpwstr>Acrobat PDFMaker 23 for Word</vt:lpwstr>
  </property>
  <property fmtid="{D5CDD505-2E9C-101B-9397-08002B2CF9AE}" pid="4" name="GrammarlyDocumentId">
    <vt:lpwstr>e798a5b5-6c65-4603-9f35-70127ed95d1a</vt:lpwstr>
  </property>
  <property fmtid="{D5CDD505-2E9C-101B-9397-08002B2CF9AE}" pid="5" name="LastSaved">
    <vt:filetime>2026-10-07T00:00:00Z</vt:filetime>
  </property>
  <property fmtid="{D5CDD505-2E9C-101B-9397-08002B2CF9AE}" pid="6" name="Producer">
    <vt:lpwstr>Adobe PDF Library 23.8.234</vt:lpwstr>
  </property>
  <property fmtid="{D5CDD505-2E9C-101B-9397-08002B2CF9AE}" pid="7" name="SourceModified">
    <vt:lpwstr/>
  </property>
</Properties>
</file>